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sz w:val="36"/>
          <w:szCs w:val="36"/>
        </w:rPr>
      </w:pPr>
      <w:bookmarkStart w:id="0" w:name="_Toc459223857"/>
      <w:bookmarkStart w:id="1" w:name="_Toc459226633"/>
      <w:bookmarkStart w:id="2" w:name="_Toc124331564"/>
      <w:bookmarkStart w:id="3" w:name="_Toc459297223"/>
      <w:bookmarkStart w:id="4" w:name="_Toc459227616"/>
      <w:bookmarkStart w:id="5" w:name="_Toc459227383"/>
      <w:r>
        <w:rPr>
          <w:rFonts w:hint="eastAsia"/>
          <w:sz w:val="36"/>
          <w:szCs w:val="36"/>
          <w:highlight w:val="white"/>
        </w:rPr>
        <w:t>宜都市人民医院综合能源托管服务项目采购需求</w:t>
      </w:r>
      <w:bookmarkEnd w:id="0"/>
      <w:bookmarkEnd w:id="1"/>
      <w:bookmarkEnd w:id="2"/>
      <w:bookmarkEnd w:id="3"/>
      <w:bookmarkEnd w:id="4"/>
      <w:bookmarkEnd w:id="5"/>
    </w:p>
    <w:p>
      <w:pPr>
        <w:rPr>
          <w:rFonts w:hint="eastAsia"/>
          <w:color w:val="000080"/>
          <w:sz w:val="20"/>
          <w:highlight w:val="red"/>
        </w:rPr>
      </w:pPr>
      <w:bookmarkStart w:id="6" w:name="EB0970ee43855144799e4f617e05b84e59"/>
    </w:p>
    <w:p>
      <w:pPr>
        <w:pStyle w:val="5"/>
        <w:spacing w:line="360" w:lineRule="auto"/>
        <w:ind w:firstLine="0" w:firstLineChars="0"/>
        <w:rPr>
          <w:rFonts w:hint="eastAsia" w:ascii="宋体" w:hAnsi="宋体" w:cs="宋体"/>
          <w:sz w:val="24"/>
          <w:szCs w:val="24"/>
        </w:rPr>
      </w:pPr>
      <w:r>
        <w:rPr>
          <w:rFonts w:hint="eastAsia" w:ascii="宋体" w:hAnsi="宋体" w:cs="宋体"/>
          <w:b/>
          <w:bCs/>
          <w:sz w:val="24"/>
          <w:szCs w:val="24"/>
        </w:rPr>
        <w:t>一、项目基本情况</w:t>
      </w:r>
    </w:p>
    <w:p>
      <w:pPr>
        <w:pStyle w:val="5"/>
        <w:numPr>
          <w:ilvl w:val="1"/>
          <w:numId w:val="1"/>
        </w:numPr>
        <w:spacing w:line="360" w:lineRule="auto"/>
        <w:ind w:firstLine="480"/>
        <w:rPr>
          <w:rFonts w:hint="eastAsia" w:ascii="宋体" w:hAnsi="宋体" w:cs="宋体"/>
          <w:sz w:val="24"/>
          <w:szCs w:val="24"/>
        </w:rPr>
      </w:pPr>
      <w:bookmarkStart w:id="36" w:name="_GoBack"/>
      <w:bookmarkEnd w:id="36"/>
      <w:r>
        <w:rPr>
          <w:rFonts w:hint="eastAsia" w:ascii="宋体" w:hAnsi="宋体" w:cs="宋体"/>
          <w:sz w:val="24"/>
          <w:szCs w:val="24"/>
        </w:rPr>
        <w:t>项目名称：宜都市人民医院综合能源托管服务项目</w:t>
      </w:r>
    </w:p>
    <w:p>
      <w:pPr>
        <w:pStyle w:val="5"/>
        <w:numPr>
          <w:ilvl w:val="1"/>
          <w:numId w:val="1"/>
        </w:numPr>
        <w:spacing w:line="360" w:lineRule="auto"/>
        <w:ind w:firstLine="480"/>
        <w:rPr>
          <w:rFonts w:hint="eastAsia" w:ascii="宋体" w:hAnsi="宋体" w:cs="宋体"/>
          <w:sz w:val="24"/>
          <w:szCs w:val="24"/>
        </w:rPr>
      </w:pPr>
      <w:r>
        <w:rPr>
          <w:rFonts w:hint="eastAsia" w:ascii="宋体" w:hAnsi="宋体" w:cs="宋体"/>
          <w:sz w:val="24"/>
          <w:szCs w:val="24"/>
        </w:rPr>
        <w:t>项目背景</w:t>
      </w:r>
    </w:p>
    <w:p>
      <w:pPr>
        <w:pStyle w:val="5"/>
        <w:spacing w:line="360" w:lineRule="auto"/>
        <w:ind w:left="567" w:firstLine="480"/>
        <w:rPr>
          <w:rFonts w:hint="eastAsia" w:ascii="宋体" w:hAnsi="宋体" w:cs="宋体"/>
          <w:iCs/>
          <w:sz w:val="24"/>
          <w:szCs w:val="24"/>
        </w:rPr>
      </w:pPr>
      <w:r>
        <w:rPr>
          <w:rFonts w:hint="eastAsia" w:ascii="宋体" w:hAnsi="宋体" w:cs="宋体"/>
          <w:iCs/>
          <w:sz w:val="24"/>
          <w:szCs w:val="24"/>
        </w:rPr>
        <w:t>宜都市人民医院（原宜都市第一人民医院）坐落于宜都市陆城东正街52号，始建于1940年，是宜都市唯一一家三级综合医院。</w:t>
      </w:r>
    </w:p>
    <w:p>
      <w:pPr>
        <w:pStyle w:val="5"/>
        <w:spacing w:line="360" w:lineRule="auto"/>
        <w:ind w:left="567" w:firstLine="480"/>
        <w:rPr>
          <w:rFonts w:hint="eastAsia" w:ascii="宋体" w:hAnsi="宋体" w:cs="宋体"/>
          <w:iCs/>
          <w:sz w:val="24"/>
          <w:szCs w:val="24"/>
        </w:rPr>
      </w:pPr>
      <w:r>
        <w:rPr>
          <w:rFonts w:hint="eastAsia" w:ascii="宋体" w:hAnsi="宋体" w:cs="宋体"/>
          <w:iCs/>
          <w:sz w:val="24"/>
          <w:szCs w:val="24"/>
        </w:rPr>
        <w:t>近年来，伴随着医院单位门诊量的增加，设备的老化，人们对医院舒适度的要求不断提升，以及现有能耗设备和后勤信息化建设的限制，医院的能源消耗正在逐年递增，医院能源管理难度越来越大，亟需通过引入新技术和信息化建设，在用能安全的情况下，提升能源使用效率，降低能源消耗，提高医院能源管理水平和后勤整体服务能力。</w:t>
      </w:r>
    </w:p>
    <w:p>
      <w:pPr>
        <w:pStyle w:val="5"/>
        <w:numPr>
          <w:ilvl w:val="1"/>
          <w:numId w:val="1"/>
        </w:numPr>
        <w:spacing w:line="360" w:lineRule="auto"/>
        <w:ind w:firstLine="480"/>
        <w:rPr>
          <w:rFonts w:hint="eastAsia" w:ascii="宋体" w:hAnsi="宋体" w:cs="宋体"/>
          <w:sz w:val="24"/>
          <w:szCs w:val="24"/>
        </w:rPr>
      </w:pPr>
      <w:r>
        <w:rPr>
          <w:rFonts w:hint="eastAsia" w:ascii="宋体" w:hAnsi="宋体" w:cs="宋体"/>
          <w:sz w:val="24"/>
          <w:szCs w:val="24"/>
        </w:rPr>
        <w:t>预算金额：本项目预算为</w:t>
      </w:r>
      <w:r>
        <w:rPr>
          <w:rFonts w:hint="eastAsia" w:ascii="宋体" w:hAnsi="宋体" w:cs="宋体"/>
          <w:i/>
          <w:iCs/>
          <w:color w:val="1F497D"/>
          <w:sz w:val="24"/>
          <w:szCs w:val="24"/>
          <w:highlight w:val="red"/>
        </w:rPr>
        <w:t>8500万元</w:t>
      </w:r>
      <w:r>
        <w:rPr>
          <w:rFonts w:hint="eastAsia" w:ascii="宋体" w:hAnsi="宋体" w:cs="宋体"/>
          <w:sz w:val="24"/>
          <w:szCs w:val="24"/>
        </w:rPr>
        <w:t>，高于该预算价作无效标论处。</w:t>
      </w:r>
    </w:p>
    <w:p>
      <w:pPr>
        <w:pStyle w:val="5"/>
        <w:numPr>
          <w:ilvl w:val="1"/>
          <w:numId w:val="1"/>
        </w:numPr>
        <w:spacing w:line="360" w:lineRule="auto"/>
        <w:ind w:firstLine="480"/>
        <w:rPr>
          <w:rFonts w:hint="eastAsia" w:ascii="宋体" w:hAnsi="宋体" w:cs="宋体"/>
          <w:sz w:val="24"/>
          <w:szCs w:val="24"/>
        </w:rPr>
      </w:pPr>
      <w:r>
        <w:rPr>
          <w:rFonts w:hint="eastAsia" w:ascii="宋体" w:hAnsi="宋体" w:cs="宋体"/>
          <w:sz w:val="24"/>
          <w:szCs w:val="24"/>
        </w:rPr>
        <w:t>采购需求：本项目采用能源费用托管型合同能源管理模式，由中标人负责投资与实施。主要包括以下内容（包含不限于以下内容）:</w:t>
      </w:r>
      <w:r>
        <w:rPr>
          <w:rFonts w:hint="eastAsia" w:ascii="宋体" w:hAnsi="宋体" w:cs="宋体"/>
          <w:iCs/>
          <w:sz w:val="24"/>
          <w:szCs w:val="24"/>
        </w:rPr>
        <w:t>综合能源管理和能源经理服务、能源管理系统、综合监控系统、设备管理系统、智慧运营管理平台系统部署、节能技改及技术优化服务</w:t>
      </w:r>
      <w:r>
        <w:rPr>
          <w:rFonts w:hint="eastAsia" w:ascii="宋体" w:hAnsi="宋体" w:cs="宋体"/>
          <w:sz w:val="24"/>
          <w:szCs w:val="24"/>
        </w:rPr>
        <w:t>。</w:t>
      </w:r>
    </w:p>
    <w:p>
      <w:pPr>
        <w:pStyle w:val="5"/>
        <w:numPr>
          <w:ilvl w:val="1"/>
          <w:numId w:val="1"/>
        </w:numPr>
        <w:spacing w:line="360" w:lineRule="auto"/>
        <w:ind w:firstLine="480"/>
        <w:rPr>
          <w:rFonts w:hint="eastAsia" w:ascii="宋体" w:hAnsi="宋体" w:cs="宋体"/>
          <w:sz w:val="24"/>
          <w:szCs w:val="24"/>
        </w:rPr>
      </w:pPr>
      <w:r>
        <w:rPr>
          <w:rFonts w:hint="eastAsia" w:ascii="宋体" w:hAnsi="宋体" w:cs="宋体"/>
          <w:sz w:val="24"/>
          <w:szCs w:val="24"/>
        </w:rPr>
        <w:t>合同履行期限：</w:t>
      </w:r>
      <w:r>
        <w:rPr>
          <w:rFonts w:hint="eastAsia" w:ascii="宋体" w:hAnsi="宋体" w:cs="宋体"/>
          <w:iCs/>
          <w:sz w:val="24"/>
          <w:szCs w:val="24"/>
        </w:rPr>
        <w:t>能源管理系统、综合监控系统、设备管理系统、智慧运营管理平台系统部署、节能技改及技术优化服务的建设期为自开工日期起180日历天，建设期满并经采购人验收合格后的能源托管服务期限为10年</w:t>
      </w:r>
      <w:r>
        <w:rPr>
          <w:rFonts w:hint="eastAsia" w:ascii="宋体" w:hAnsi="宋体" w:cs="宋体"/>
          <w:sz w:val="24"/>
          <w:szCs w:val="24"/>
        </w:rPr>
        <w:t>。</w:t>
      </w:r>
    </w:p>
    <w:p>
      <w:pPr>
        <w:pStyle w:val="5"/>
        <w:numPr>
          <w:ilvl w:val="1"/>
          <w:numId w:val="1"/>
        </w:numPr>
        <w:spacing w:line="360" w:lineRule="auto"/>
        <w:ind w:firstLine="480"/>
        <w:rPr>
          <w:rFonts w:hint="eastAsia" w:ascii="宋体" w:hAnsi="宋体" w:cs="宋体"/>
          <w:sz w:val="24"/>
          <w:szCs w:val="24"/>
        </w:rPr>
      </w:pPr>
      <w:r>
        <w:rPr>
          <w:rFonts w:hint="eastAsia" w:ascii="宋体" w:hAnsi="宋体" w:cs="宋体"/>
          <w:sz w:val="24"/>
          <w:szCs w:val="24"/>
        </w:rPr>
        <w:t>本项目不接受联合体投标。</w:t>
      </w:r>
    </w:p>
    <w:p>
      <w:pPr>
        <w:pStyle w:val="5"/>
        <w:keepNext/>
        <w:keepLines/>
        <w:spacing w:before="260" w:after="260" w:line="415" w:lineRule="auto"/>
        <w:ind w:firstLine="0" w:firstLineChars="0"/>
        <w:outlineLvl w:val="1"/>
        <w:rPr>
          <w:rFonts w:hint="eastAsia" w:ascii="宋体" w:hAnsi="宋体" w:cs="宋体"/>
          <w:b/>
          <w:bCs/>
          <w:sz w:val="24"/>
          <w:szCs w:val="24"/>
        </w:rPr>
      </w:pPr>
      <w:bookmarkStart w:id="7" w:name="_Toc124331565"/>
      <w:bookmarkStart w:id="8" w:name="_Toc114092359"/>
      <w:bookmarkStart w:id="9" w:name="_Toc86422837"/>
      <w:bookmarkStart w:id="10" w:name="_Toc87557843"/>
      <w:r>
        <w:rPr>
          <w:rFonts w:hint="eastAsia" w:ascii="宋体" w:hAnsi="宋体" w:cs="宋体"/>
          <w:b/>
          <w:bCs/>
          <w:sz w:val="24"/>
          <w:szCs w:val="24"/>
        </w:rPr>
        <w:t>二、招标范围及要求</w:t>
      </w:r>
      <w:bookmarkEnd w:id="7"/>
      <w:bookmarkEnd w:id="8"/>
      <w:bookmarkEnd w:id="9"/>
      <w:bookmarkEnd w:id="10"/>
    </w:p>
    <w:p>
      <w:pPr>
        <w:pStyle w:val="5"/>
        <w:spacing w:line="360" w:lineRule="auto"/>
        <w:ind w:left="100" w:firstLine="480"/>
        <w:rPr>
          <w:rFonts w:hint="eastAsia" w:ascii="宋体" w:hAnsi="宋体" w:cs="宋体"/>
          <w:iCs/>
          <w:sz w:val="24"/>
          <w:szCs w:val="24"/>
        </w:rPr>
      </w:pPr>
      <w:r>
        <w:rPr>
          <w:rFonts w:hint="eastAsia" w:ascii="宋体" w:hAnsi="宋体" w:cs="宋体"/>
          <w:iCs/>
          <w:sz w:val="24"/>
          <w:szCs w:val="24"/>
        </w:rPr>
        <w:t>介于医院当前现状，根据湖北省机关事务管理局创建节约型公共机构示范单位实施方案，拟委托专业</w:t>
      </w:r>
      <w:bookmarkStart w:id="11" w:name="_Hlk87433574"/>
      <w:r>
        <w:rPr>
          <w:rFonts w:hint="eastAsia" w:ascii="宋体" w:hAnsi="宋体" w:cs="宋体"/>
          <w:iCs/>
          <w:sz w:val="24"/>
          <w:szCs w:val="24"/>
        </w:rPr>
        <w:t>综合能源服务</w:t>
      </w:r>
      <w:bookmarkEnd w:id="11"/>
      <w:r>
        <w:rPr>
          <w:rFonts w:hint="eastAsia" w:ascii="宋体" w:hAnsi="宋体" w:cs="宋体"/>
          <w:iCs/>
          <w:sz w:val="24"/>
          <w:szCs w:val="24"/>
        </w:rPr>
        <w:t>公司，采用能源费用托管型合同能源管理方式，利用国内外最新能源及信息技术发展成果，统筹推进宜都市人民医院实现能源利用高效化、清洁化、智能化、数字化。</w:t>
      </w:r>
    </w:p>
    <w:p>
      <w:pPr>
        <w:pStyle w:val="5"/>
        <w:spacing w:line="360" w:lineRule="auto"/>
        <w:ind w:left="100" w:firstLine="480"/>
        <w:rPr>
          <w:rFonts w:hint="eastAsia" w:ascii="宋体" w:hAnsi="宋体" w:cs="宋体"/>
          <w:iCs/>
          <w:sz w:val="24"/>
          <w:szCs w:val="24"/>
        </w:rPr>
      </w:pPr>
      <w:r>
        <w:rPr>
          <w:rFonts w:hint="eastAsia" w:ascii="宋体" w:hAnsi="宋体" w:cs="宋体"/>
          <w:iCs/>
          <w:sz w:val="24"/>
          <w:szCs w:val="24"/>
        </w:rPr>
        <w:t>本次项目目标是通过实施包括技术、管理专业化能源一揽子解决方案，实现能源费用管控、综合能源逐步降低、机电运行安全提升。采购人按照协议约定向中标人支付合同期内托管范围内的水、电、气综合能源托管费用，并由中标人负责缴纳采购人合同期内的用电、用水、用气费用。</w:t>
      </w:r>
    </w:p>
    <w:p>
      <w:pPr>
        <w:pStyle w:val="5"/>
        <w:spacing w:line="360" w:lineRule="auto"/>
        <w:ind w:left="100" w:firstLine="480"/>
        <w:rPr>
          <w:rFonts w:hint="eastAsia" w:ascii="宋体" w:hAnsi="宋体" w:cs="宋体"/>
          <w:sz w:val="24"/>
          <w:szCs w:val="24"/>
        </w:rPr>
      </w:pPr>
      <w:r>
        <w:rPr>
          <w:rFonts w:hint="eastAsia" w:ascii="宋体" w:hAnsi="宋体" w:cs="宋体"/>
          <w:sz w:val="24"/>
          <w:szCs w:val="24"/>
        </w:rPr>
        <w:t>本项目能源系统的节能改造和运维管理投资、风险由综合能源服务公司自行承担。</w:t>
      </w:r>
    </w:p>
    <w:p>
      <w:pPr>
        <w:pStyle w:val="5"/>
        <w:keepNext/>
        <w:keepLines/>
        <w:numPr>
          <w:ilvl w:val="2"/>
          <w:numId w:val="2"/>
        </w:numPr>
        <w:spacing w:before="100" w:beforeAutospacing="1" w:after="240" w:afterLines="100"/>
        <w:ind w:firstLine="480"/>
        <w:outlineLvl w:val="2"/>
        <w:rPr>
          <w:rFonts w:hint="eastAsia" w:ascii="宋体" w:hAnsi="宋体" w:cs="宋体"/>
          <w:bCs/>
          <w:sz w:val="24"/>
          <w:szCs w:val="24"/>
        </w:rPr>
      </w:pPr>
      <w:bookmarkStart w:id="12" w:name="_Toc124331566"/>
      <w:r>
        <w:rPr>
          <w:rFonts w:hint="eastAsia" w:ascii="宋体" w:hAnsi="宋体" w:cs="宋体"/>
          <w:bCs/>
          <w:sz w:val="24"/>
          <w:szCs w:val="24"/>
        </w:rPr>
        <w:t>本项目术语和定义</w:t>
      </w:r>
      <w:bookmarkEnd w:id="12"/>
    </w:p>
    <w:p>
      <w:pPr>
        <w:pStyle w:val="5"/>
        <w:numPr>
          <w:ilvl w:val="3"/>
          <w:numId w:val="2"/>
        </w:numPr>
        <w:spacing w:line="360" w:lineRule="auto"/>
        <w:ind w:firstLine="482"/>
        <w:rPr>
          <w:rFonts w:hint="eastAsia" w:ascii="宋体" w:hAnsi="宋体" w:cs="宋体"/>
          <w:sz w:val="24"/>
          <w:szCs w:val="24"/>
        </w:rPr>
      </w:pPr>
      <w:bookmarkStart w:id="13" w:name="_Hlk37614811"/>
      <w:r>
        <w:rPr>
          <w:rFonts w:hint="eastAsia" w:ascii="宋体" w:hAnsi="宋体" w:cs="宋体"/>
          <w:b/>
          <w:bCs/>
          <w:sz w:val="24"/>
          <w:szCs w:val="24"/>
        </w:rPr>
        <w:t>合同能源管理</w:t>
      </w:r>
      <w:r>
        <w:rPr>
          <w:rFonts w:hint="eastAsia" w:ascii="宋体" w:hAnsi="宋体" w:cs="宋体"/>
          <w:sz w:val="24"/>
          <w:szCs w:val="24"/>
        </w:rPr>
        <w:t>：综合能源服务公司与用能单位以合同形式约定能源托管项目的实施内容，综合能源服务公司向用能单位提供必要的服务，用能单位以能源托管费支付综合能源服务公司的投入及其合理利润的合同能源管理机制。</w:t>
      </w:r>
    </w:p>
    <w:p>
      <w:pPr>
        <w:pStyle w:val="5"/>
        <w:numPr>
          <w:ilvl w:val="3"/>
          <w:numId w:val="2"/>
        </w:numPr>
        <w:spacing w:line="360" w:lineRule="auto"/>
        <w:ind w:firstLine="482"/>
        <w:rPr>
          <w:rFonts w:hint="eastAsia" w:ascii="宋体" w:hAnsi="宋体" w:cs="宋体"/>
          <w:color w:val="0D0D0D"/>
          <w:sz w:val="24"/>
          <w:szCs w:val="24"/>
        </w:rPr>
      </w:pPr>
      <w:r>
        <w:rPr>
          <w:rFonts w:hint="eastAsia" w:ascii="宋体" w:hAnsi="宋体" w:cs="宋体"/>
          <w:b/>
          <w:bCs/>
          <w:color w:val="0D0D0D"/>
          <w:sz w:val="24"/>
          <w:szCs w:val="24"/>
        </w:rPr>
        <w:t>能源费用托管型合同能源管理</w:t>
      </w:r>
      <w:r>
        <w:rPr>
          <w:rFonts w:hint="eastAsia" w:ascii="宋体" w:hAnsi="宋体" w:cs="宋体"/>
          <w:color w:val="0D0D0D"/>
          <w:sz w:val="24"/>
          <w:szCs w:val="24"/>
        </w:rPr>
        <w:t>：合同能源管理的一种形式。由用能单位委托综合能源服务公司进行能源系统的运行、管理、维护或(和)节能改造。用能单位根据能源基准确定的能源系统运行、管理、维护和能源使用的费用,支付给综合能源服务公司作为托管费用。综合能源服务公司通过科学的管理运行和节能技术的应用达到节约能源,减少费用支出或增加收益,获取合理的利润。托管范围可包括:电、气、煤、油、市政热力、水等项所发生的费用,能源系统的运行、管理、维护维修费用(含人工、消耗性材料、工具)。</w:t>
      </w:r>
    </w:p>
    <w:p>
      <w:pPr>
        <w:pStyle w:val="5"/>
        <w:numPr>
          <w:ilvl w:val="3"/>
          <w:numId w:val="2"/>
        </w:numPr>
        <w:spacing w:line="360" w:lineRule="auto"/>
        <w:ind w:firstLine="482"/>
        <w:rPr>
          <w:rFonts w:hint="eastAsia" w:ascii="宋体" w:hAnsi="宋体" w:cs="宋体"/>
          <w:color w:val="0D0D0D"/>
          <w:sz w:val="24"/>
          <w:szCs w:val="24"/>
        </w:rPr>
      </w:pPr>
      <w:r>
        <w:rPr>
          <w:rFonts w:hint="eastAsia" w:ascii="宋体" w:hAnsi="宋体" w:cs="宋体"/>
          <w:b/>
          <w:bCs/>
          <w:color w:val="0D0D0D"/>
          <w:sz w:val="24"/>
          <w:szCs w:val="24"/>
        </w:rPr>
        <w:t>综合能源服务公司</w:t>
      </w:r>
      <w:r>
        <w:rPr>
          <w:rFonts w:hint="eastAsia" w:ascii="宋体" w:hAnsi="宋体" w:cs="宋体"/>
          <w:color w:val="0D0D0D"/>
          <w:sz w:val="24"/>
          <w:szCs w:val="24"/>
        </w:rPr>
        <w:t>：提供用能状况诊断、能源托管服务项目设计、融资、改造(施工、设备安装、调试)、运行管理等服务的专业化公司。</w:t>
      </w:r>
    </w:p>
    <w:p>
      <w:pPr>
        <w:pStyle w:val="5"/>
        <w:numPr>
          <w:ilvl w:val="3"/>
          <w:numId w:val="2"/>
        </w:numPr>
        <w:spacing w:line="360" w:lineRule="auto"/>
        <w:ind w:firstLine="482"/>
        <w:rPr>
          <w:rFonts w:hint="eastAsia" w:ascii="宋体" w:hAnsi="宋体" w:cs="宋体"/>
          <w:color w:val="0D0D0D"/>
          <w:sz w:val="24"/>
          <w:szCs w:val="24"/>
        </w:rPr>
      </w:pPr>
      <w:r>
        <w:rPr>
          <w:rFonts w:hint="eastAsia" w:ascii="宋体" w:hAnsi="宋体" w:cs="宋体"/>
          <w:b/>
          <w:bCs/>
          <w:color w:val="0D0D0D"/>
          <w:sz w:val="24"/>
          <w:szCs w:val="24"/>
        </w:rPr>
        <w:t>能源基准</w:t>
      </w:r>
      <w:r>
        <w:rPr>
          <w:rFonts w:hint="eastAsia" w:ascii="宋体" w:hAnsi="宋体" w:cs="宋体"/>
          <w:color w:val="0D0D0D"/>
          <w:sz w:val="24"/>
          <w:szCs w:val="24"/>
        </w:rPr>
        <w:t>：用能单位特定时间段的能源消耗量。</w:t>
      </w:r>
    </w:p>
    <w:p>
      <w:pPr>
        <w:pStyle w:val="5"/>
        <w:numPr>
          <w:ilvl w:val="3"/>
          <w:numId w:val="2"/>
        </w:numPr>
        <w:spacing w:line="360" w:lineRule="auto"/>
        <w:ind w:firstLine="482"/>
        <w:rPr>
          <w:rFonts w:hint="eastAsia" w:ascii="宋体" w:hAnsi="宋体" w:cs="宋体"/>
          <w:color w:val="0D0D0D"/>
          <w:sz w:val="24"/>
          <w:szCs w:val="24"/>
        </w:rPr>
      </w:pPr>
      <w:r>
        <w:rPr>
          <w:rFonts w:hint="eastAsia" w:ascii="宋体" w:hAnsi="宋体" w:cs="宋体"/>
          <w:b/>
          <w:bCs/>
          <w:color w:val="0D0D0D"/>
          <w:sz w:val="24"/>
          <w:szCs w:val="24"/>
        </w:rPr>
        <w:t>建设期</w:t>
      </w:r>
      <w:r>
        <w:rPr>
          <w:rFonts w:hint="eastAsia" w:ascii="宋体" w:hAnsi="宋体" w:cs="宋体"/>
          <w:color w:val="0D0D0D"/>
          <w:sz w:val="24"/>
          <w:szCs w:val="24"/>
        </w:rPr>
        <w:t>：综合能源服务公司完成改造（施工、设备安装、调试）并通过用能单位验收的期限。</w:t>
      </w:r>
    </w:p>
    <w:p>
      <w:pPr>
        <w:pStyle w:val="5"/>
        <w:numPr>
          <w:ilvl w:val="3"/>
          <w:numId w:val="2"/>
        </w:numPr>
        <w:spacing w:line="360" w:lineRule="auto"/>
        <w:ind w:firstLine="482"/>
        <w:rPr>
          <w:rFonts w:hint="eastAsia" w:ascii="宋体" w:hAnsi="宋体" w:cs="宋体"/>
          <w:color w:val="0D0D0D"/>
          <w:sz w:val="24"/>
          <w:szCs w:val="24"/>
        </w:rPr>
      </w:pPr>
      <w:r>
        <w:rPr>
          <w:rFonts w:hint="eastAsia" w:ascii="宋体" w:hAnsi="宋体" w:cs="宋体"/>
          <w:b/>
          <w:bCs/>
          <w:color w:val="0D0D0D"/>
          <w:sz w:val="24"/>
          <w:szCs w:val="24"/>
        </w:rPr>
        <w:t>能源托管期</w:t>
      </w:r>
      <w:r>
        <w:rPr>
          <w:rFonts w:hint="eastAsia" w:ascii="宋体" w:hAnsi="宋体" w:cs="宋体"/>
          <w:color w:val="0D0D0D"/>
          <w:sz w:val="24"/>
          <w:szCs w:val="24"/>
        </w:rPr>
        <w:t>：指综合能源服务公司向用能单位提供能源托管服务，用能单位向综合能源服务公司支付能源托管费用的期限。</w:t>
      </w:r>
    </w:p>
    <w:p>
      <w:pPr>
        <w:pStyle w:val="5"/>
        <w:numPr>
          <w:ilvl w:val="3"/>
          <w:numId w:val="2"/>
        </w:numPr>
        <w:spacing w:line="360" w:lineRule="auto"/>
        <w:ind w:firstLine="482"/>
        <w:rPr>
          <w:rFonts w:hint="eastAsia" w:ascii="宋体" w:hAnsi="宋体" w:cs="宋体"/>
          <w:color w:val="0D0D0D"/>
          <w:sz w:val="24"/>
          <w:szCs w:val="24"/>
        </w:rPr>
      </w:pPr>
      <w:r>
        <w:rPr>
          <w:rFonts w:hint="eastAsia" w:ascii="宋体" w:hAnsi="宋体" w:cs="宋体"/>
          <w:b/>
          <w:bCs/>
          <w:color w:val="0D0D0D"/>
          <w:sz w:val="24"/>
          <w:szCs w:val="24"/>
        </w:rPr>
        <w:t>节能设备</w:t>
      </w:r>
      <w:r>
        <w:rPr>
          <w:rFonts w:hint="eastAsia" w:ascii="宋体" w:hAnsi="宋体" w:cs="宋体"/>
          <w:color w:val="0D0D0D"/>
          <w:sz w:val="24"/>
          <w:szCs w:val="24"/>
        </w:rPr>
        <w:t>：指本项目下所有由综合能源服务公司采购并安装的设备、设施、仪器和系统等财产。</w:t>
      </w:r>
    </w:p>
    <w:p>
      <w:pPr>
        <w:pStyle w:val="5"/>
        <w:spacing w:before="240" w:after="60"/>
        <w:ind w:firstLine="482"/>
        <w:outlineLvl w:val="0"/>
        <w:rPr>
          <w:rFonts w:hint="eastAsia" w:ascii="宋体" w:hAnsi="宋体" w:cs="宋体"/>
          <w:b/>
          <w:bCs/>
          <w:sz w:val="24"/>
          <w:szCs w:val="24"/>
        </w:rPr>
      </w:pPr>
      <w:r>
        <w:rPr>
          <w:rFonts w:hint="eastAsia" w:ascii="宋体" w:hAnsi="宋体" w:cs="宋体"/>
          <w:b/>
          <w:bCs/>
          <w:sz w:val="24"/>
          <w:szCs w:val="24"/>
        </w:rPr>
        <w:br w:type="page"/>
      </w:r>
    </w:p>
    <w:bookmarkEnd w:id="13"/>
    <w:p>
      <w:pPr>
        <w:pStyle w:val="5"/>
        <w:keepNext/>
        <w:keepLines/>
        <w:numPr>
          <w:ilvl w:val="2"/>
          <w:numId w:val="2"/>
        </w:numPr>
        <w:spacing w:before="100" w:beforeAutospacing="1" w:after="240" w:afterLines="100"/>
        <w:ind w:firstLine="480"/>
        <w:outlineLvl w:val="2"/>
        <w:rPr>
          <w:rFonts w:hint="eastAsia" w:ascii="宋体" w:hAnsi="宋体" w:cs="宋体"/>
          <w:bCs/>
          <w:sz w:val="24"/>
          <w:szCs w:val="24"/>
        </w:rPr>
      </w:pPr>
      <w:bookmarkStart w:id="14" w:name="_Ref87522509"/>
      <w:bookmarkStart w:id="15" w:name="_Toc124331567"/>
      <w:r>
        <w:rPr>
          <w:rFonts w:hint="eastAsia" w:ascii="宋体" w:hAnsi="宋体" w:cs="宋体"/>
          <w:bCs/>
          <w:sz w:val="24"/>
          <w:szCs w:val="24"/>
        </w:rPr>
        <w:t>招标货物（服务）一览表</w:t>
      </w:r>
      <w:bookmarkEnd w:id="14"/>
      <w:bookmarkEnd w:id="15"/>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7"/>
        <w:gridCol w:w="1647"/>
        <w:gridCol w:w="2029"/>
        <w:gridCol w:w="1678"/>
        <w:gridCol w:w="1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服务名称</w:t>
            </w:r>
          </w:p>
        </w:tc>
        <w:tc>
          <w:tcPr>
            <w:tcW w:w="1632"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能源托管周期</w:t>
            </w:r>
          </w:p>
        </w:tc>
        <w:tc>
          <w:tcPr>
            <w:tcW w:w="2206"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第一个托管周期</w:t>
            </w:r>
          </w:p>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能源托管费最高限价</w:t>
            </w:r>
          </w:p>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（万元）</w:t>
            </w:r>
          </w:p>
        </w:tc>
        <w:tc>
          <w:tcPr>
            <w:tcW w:w="1970"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托管周期</w:t>
            </w:r>
          </w:p>
        </w:tc>
        <w:tc>
          <w:tcPr>
            <w:tcW w:w="2135"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能源托管周期</w:t>
            </w:r>
          </w:p>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能源托管费最高限价</w:t>
            </w:r>
          </w:p>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1232" w:type="dxa"/>
            <w:vMerge w:val="restart"/>
            <w:noWrap w:val="0"/>
            <w:vAlign w:val="center"/>
          </w:tcPr>
          <w:p>
            <w:pPr>
              <w:pStyle w:val="5"/>
              <w:spacing w:line="336" w:lineRule="auto"/>
              <w:ind w:hanging="10" w:firstLineChars="0"/>
              <w:jc w:val="center"/>
              <w:rPr>
                <w:rFonts w:hint="eastAsia" w:ascii="宋体" w:hAnsi="宋体" w:cs="宋体"/>
                <w:sz w:val="24"/>
                <w:szCs w:val="24"/>
              </w:rPr>
            </w:pPr>
            <w:r>
              <w:rPr>
                <w:rFonts w:hint="eastAsia" w:ascii="宋体" w:hAnsi="宋体" w:cs="宋体"/>
                <w:sz w:val="24"/>
                <w:szCs w:val="24"/>
              </w:rPr>
              <w:t>综合能源</w:t>
            </w:r>
          </w:p>
          <w:p>
            <w:pPr>
              <w:pStyle w:val="5"/>
              <w:spacing w:line="336" w:lineRule="auto"/>
              <w:ind w:hanging="10" w:firstLineChars="0"/>
              <w:jc w:val="center"/>
              <w:rPr>
                <w:rFonts w:hint="eastAsia" w:ascii="宋体" w:hAnsi="宋体" w:cs="宋体"/>
                <w:sz w:val="24"/>
                <w:szCs w:val="24"/>
              </w:rPr>
            </w:pPr>
            <w:r>
              <w:rPr>
                <w:rFonts w:hint="eastAsia" w:ascii="宋体" w:hAnsi="宋体" w:cs="宋体"/>
                <w:sz w:val="24"/>
                <w:szCs w:val="24"/>
              </w:rPr>
              <w:t>托管项目</w:t>
            </w:r>
          </w:p>
        </w:tc>
        <w:tc>
          <w:tcPr>
            <w:tcW w:w="1632" w:type="dxa"/>
            <w:vMerge w:val="restart"/>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10个托管周期</w:t>
            </w:r>
          </w:p>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(120个月)</w:t>
            </w:r>
          </w:p>
        </w:tc>
        <w:tc>
          <w:tcPr>
            <w:tcW w:w="2206" w:type="dxa"/>
            <w:vMerge w:val="restart"/>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bCs/>
                <w:sz w:val="24"/>
                <w:szCs w:val="24"/>
              </w:rPr>
              <w:t>750</w:t>
            </w:r>
          </w:p>
        </w:tc>
        <w:tc>
          <w:tcPr>
            <w:tcW w:w="1970" w:type="dxa"/>
            <w:noWrap w:val="0"/>
            <w:vAlign w:val="center"/>
          </w:tcPr>
          <w:p>
            <w:pPr>
              <w:pStyle w:val="5"/>
              <w:spacing w:line="336" w:lineRule="auto"/>
              <w:ind w:left="-10" w:firstLine="0" w:firstLineChars="0"/>
              <w:jc w:val="center"/>
              <w:rPr>
                <w:rFonts w:hint="eastAsia" w:ascii="宋体" w:hAnsi="宋体" w:cs="宋体"/>
                <w:bCs/>
                <w:sz w:val="24"/>
                <w:szCs w:val="24"/>
              </w:rPr>
            </w:pPr>
            <w:r>
              <w:rPr>
                <w:rFonts w:hint="eastAsia" w:ascii="宋体" w:hAnsi="宋体" w:cs="宋体"/>
                <w:bCs/>
                <w:sz w:val="24"/>
                <w:szCs w:val="24"/>
              </w:rPr>
              <w:t>第一个托管周期</w:t>
            </w:r>
          </w:p>
        </w:tc>
        <w:tc>
          <w:tcPr>
            <w:tcW w:w="2135"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1232" w:type="dxa"/>
            <w:vMerge w:val="continue"/>
            <w:noWrap w:val="0"/>
            <w:vAlign w:val="center"/>
          </w:tcPr>
          <w:p>
            <w:pPr>
              <w:pStyle w:val="5"/>
              <w:spacing w:line="336" w:lineRule="auto"/>
              <w:ind w:hanging="10" w:firstLineChars="0"/>
              <w:jc w:val="center"/>
              <w:rPr>
                <w:rFonts w:hint="eastAsia" w:ascii="宋体" w:hAnsi="宋体" w:cs="宋体"/>
                <w:sz w:val="24"/>
                <w:szCs w:val="24"/>
              </w:rPr>
            </w:pPr>
          </w:p>
        </w:tc>
        <w:tc>
          <w:tcPr>
            <w:tcW w:w="1632"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2206"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1970" w:type="dxa"/>
            <w:noWrap w:val="0"/>
            <w:vAlign w:val="center"/>
          </w:tcPr>
          <w:p>
            <w:pPr>
              <w:pStyle w:val="5"/>
              <w:spacing w:line="336" w:lineRule="auto"/>
              <w:ind w:firstLine="0" w:firstLineChars="0"/>
              <w:jc w:val="center"/>
              <w:rPr>
                <w:rFonts w:hint="eastAsia" w:ascii="宋体" w:hAnsi="宋体" w:cs="宋体"/>
                <w:bCs/>
                <w:sz w:val="24"/>
                <w:szCs w:val="24"/>
              </w:rPr>
            </w:pPr>
            <w:r>
              <w:rPr>
                <w:rFonts w:hint="eastAsia" w:ascii="宋体" w:hAnsi="宋体" w:cs="宋体"/>
                <w:bCs/>
                <w:sz w:val="24"/>
                <w:szCs w:val="24"/>
              </w:rPr>
              <w:t>第二个托管周期</w:t>
            </w:r>
          </w:p>
        </w:tc>
        <w:tc>
          <w:tcPr>
            <w:tcW w:w="2135"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1232" w:type="dxa"/>
            <w:vMerge w:val="continue"/>
            <w:noWrap w:val="0"/>
            <w:vAlign w:val="center"/>
          </w:tcPr>
          <w:p>
            <w:pPr>
              <w:pStyle w:val="5"/>
              <w:spacing w:line="336" w:lineRule="auto"/>
              <w:ind w:hanging="10" w:firstLineChars="0"/>
              <w:jc w:val="center"/>
              <w:rPr>
                <w:rFonts w:hint="eastAsia" w:ascii="宋体" w:hAnsi="宋体" w:cs="宋体"/>
                <w:sz w:val="24"/>
                <w:szCs w:val="24"/>
              </w:rPr>
            </w:pPr>
          </w:p>
        </w:tc>
        <w:tc>
          <w:tcPr>
            <w:tcW w:w="1632"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2206"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1970" w:type="dxa"/>
            <w:noWrap w:val="0"/>
            <w:vAlign w:val="center"/>
          </w:tcPr>
          <w:p>
            <w:pPr>
              <w:pStyle w:val="5"/>
              <w:spacing w:line="336" w:lineRule="auto"/>
              <w:ind w:firstLine="0" w:firstLineChars="0"/>
              <w:jc w:val="center"/>
              <w:rPr>
                <w:rFonts w:hint="eastAsia" w:ascii="宋体" w:hAnsi="宋体" w:cs="宋体"/>
                <w:bCs/>
                <w:sz w:val="24"/>
                <w:szCs w:val="24"/>
              </w:rPr>
            </w:pPr>
            <w:r>
              <w:rPr>
                <w:rFonts w:hint="eastAsia" w:ascii="宋体" w:hAnsi="宋体" w:cs="宋体"/>
                <w:bCs/>
                <w:sz w:val="24"/>
                <w:szCs w:val="24"/>
              </w:rPr>
              <w:t>第三个</w:t>
            </w:r>
            <w:r>
              <w:rPr>
                <w:rFonts w:hint="eastAsia" w:ascii="宋体" w:hAnsi="宋体" w:cs="宋体"/>
                <w:sz w:val="24"/>
                <w:szCs w:val="24"/>
              </w:rPr>
              <w:t>托管</w:t>
            </w:r>
            <w:r>
              <w:rPr>
                <w:rFonts w:hint="eastAsia" w:ascii="宋体" w:hAnsi="宋体" w:cs="宋体"/>
                <w:bCs/>
                <w:sz w:val="24"/>
                <w:szCs w:val="24"/>
              </w:rPr>
              <w:t>周期</w:t>
            </w:r>
          </w:p>
        </w:tc>
        <w:tc>
          <w:tcPr>
            <w:tcW w:w="2135"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1232" w:type="dxa"/>
            <w:vMerge w:val="continue"/>
            <w:noWrap w:val="0"/>
            <w:vAlign w:val="center"/>
          </w:tcPr>
          <w:p>
            <w:pPr>
              <w:pStyle w:val="5"/>
              <w:spacing w:line="336" w:lineRule="auto"/>
              <w:ind w:hanging="10" w:firstLineChars="0"/>
              <w:jc w:val="center"/>
              <w:rPr>
                <w:rFonts w:hint="eastAsia" w:ascii="宋体" w:hAnsi="宋体" w:cs="宋体"/>
                <w:sz w:val="24"/>
                <w:szCs w:val="24"/>
              </w:rPr>
            </w:pPr>
          </w:p>
        </w:tc>
        <w:tc>
          <w:tcPr>
            <w:tcW w:w="1632"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2206"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1970" w:type="dxa"/>
            <w:noWrap w:val="0"/>
            <w:vAlign w:val="center"/>
          </w:tcPr>
          <w:p>
            <w:pPr>
              <w:pStyle w:val="5"/>
              <w:spacing w:line="336" w:lineRule="auto"/>
              <w:ind w:firstLine="0" w:firstLineChars="0"/>
              <w:jc w:val="center"/>
              <w:rPr>
                <w:rFonts w:hint="eastAsia" w:ascii="宋体" w:hAnsi="宋体" w:cs="宋体"/>
                <w:bCs/>
                <w:sz w:val="24"/>
                <w:szCs w:val="24"/>
              </w:rPr>
            </w:pPr>
            <w:r>
              <w:rPr>
                <w:rFonts w:hint="eastAsia" w:ascii="宋体" w:hAnsi="宋体" w:cs="宋体"/>
                <w:bCs/>
                <w:sz w:val="24"/>
                <w:szCs w:val="24"/>
              </w:rPr>
              <w:t>第四个托管周期</w:t>
            </w:r>
          </w:p>
        </w:tc>
        <w:tc>
          <w:tcPr>
            <w:tcW w:w="2135"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1232" w:type="dxa"/>
            <w:vMerge w:val="continue"/>
            <w:noWrap w:val="0"/>
            <w:vAlign w:val="center"/>
          </w:tcPr>
          <w:p>
            <w:pPr>
              <w:pStyle w:val="5"/>
              <w:spacing w:line="336" w:lineRule="auto"/>
              <w:ind w:hanging="10" w:firstLineChars="0"/>
              <w:jc w:val="center"/>
              <w:rPr>
                <w:rFonts w:hint="eastAsia" w:ascii="宋体" w:hAnsi="宋体" w:cs="宋体"/>
                <w:sz w:val="24"/>
                <w:szCs w:val="24"/>
              </w:rPr>
            </w:pPr>
          </w:p>
        </w:tc>
        <w:tc>
          <w:tcPr>
            <w:tcW w:w="1632"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2206"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1970" w:type="dxa"/>
            <w:noWrap w:val="0"/>
            <w:vAlign w:val="center"/>
          </w:tcPr>
          <w:p>
            <w:pPr>
              <w:pStyle w:val="5"/>
              <w:spacing w:line="336" w:lineRule="auto"/>
              <w:ind w:firstLine="0" w:firstLineChars="0"/>
              <w:jc w:val="center"/>
              <w:rPr>
                <w:rFonts w:hint="eastAsia" w:ascii="宋体" w:hAnsi="宋体" w:cs="宋体"/>
                <w:bCs/>
                <w:sz w:val="24"/>
                <w:szCs w:val="24"/>
              </w:rPr>
            </w:pPr>
            <w:r>
              <w:rPr>
                <w:rFonts w:hint="eastAsia" w:ascii="宋体" w:hAnsi="宋体" w:cs="宋体"/>
                <w:bCs/>
                <w:sz w:val="24"/>
                <w:szCs w:val="24"/>
              </w:rPr>
              <w:t>第五个托管周期</w:t>
            </w:r>
          </w:p>
        </w:tc>
        <w:tc>
          <w:tcPr>
            <w:tcW w:w="2135"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1232" w:type="dxa"/>
            <w:vMerge w:val="continue"/>
            <w:noWrap w:val="0"/>
            <w:vAlign w:val="center"/>
          </w:tcPr>
          <w:p>
            <w:pPr>
              <w:pStyle w:val="5"/>
              <w:spacing w:line="336" w:lineRule="auto"/>
              <w:ind w:hanging="10" w:firstLineChars="0"/>
              <w:jc w:val="center"/>
              <w:rPr>
                <w:rFonts w:hint="eastAsia" w:ascii="宋体" w:hAnsi="宋体" w:cs="宋体"/>
                <w:sz w:val="24"/>
                <w:szCs w:val="24"/>
              </w:rPr>
            </w:pPr>
          </w:p>
        </w:tc>
        <w:tc>
          <w:tcPr>
            <w:tcW w:w="1632"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2206"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1970" w:type="dxa"/>
            <w:noWrap w:val="0"/>
            <w:vAlign w:val="center"/>
          </w:tcPr>
          <w:p>
            <w:pPr>
              <w:pStyle w:val="5"/>
              <w:spacing w:line="336" w:lineRule="auto"/>
              <w:ind w:firstLine="0" w:firstLineChars="0"/>
              <w:jc w:val="center"/>
              <w:rPr>
                <w:rFonts w:hint="eastAsia" w:ascii="宋体" w:hAnsi="宋体" w:cs="宋体"/>
                <w:bCs/>
                <w:sz w:val="24"/>
                <w:szCs w:val="24"/>
              </w:rPr>
            </w:pPr>
            <w:r>
              <w:rPr>
                <w:rFonts w:hint="eastAsia" w:ascii="宋体" w:hAnsi="宋体" w:cs="宋体"/>
                <w:bCs/>
                <w:sz w:val="24"/>
                <w:szCs w:val="24"/>
              </w:rPr>
              <w:t>第六个</w:t>
            </w:r>
            <w:r>
              <w:rPr>
                <w:rFonts w:hint="eastAsia" w:ascii="宋体" w:hAnsi="宋体" w:cs="宋体"/>
                <w:sz w:val="24"/>
                <w:szCs w:val="24"/>
              </w:rPr>
              <w:t>托管</w:t>
            </w:r>
            <w:r>
              <w:rPr>
                <w:rFonts w:hint="eastAsia" w:ascii="宋体" w:hAnsi="宋体" w:cs="宋体"/>
                <w:bCs/>
                <w:sz w:val="24"/>
                <w:szCs w:val="24"/>
              </w:rPr>
              <w:t>周期</w:t>
            </w:r>
          </w:p>
        </w:tc>
        <w:tc>
          <w:tcPr>
            <w:tcW w:w="2135"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1232" w:type="dxa"/>
            <w:vMerge w:val="continue"/>
            <w:noWrap w:val="0"/>
            <w:vAlign w:val="center"/>
          </w:tcPr>
          <w:p>
            <w:pPr>
              <w:pStyle w:val="5"/>
              <w:spacing w:line="336" w:lineRule="auto"/>
              <w:ind w:hanging="10" w:firstLineChars="0"/>
              <w:jc w:val="center"/>
              <w:rPr>
                <w:rFonts w:hint="eastAsia" w:ascii="宋体" w:hAnsi="宋体" w:cs="宋体"/>
                <w:sz w:val="24"/>
                <w:szCs w:val="24"/>
              </w:rPr>
            </w:pPr>
          </w:p>
        </w:tc>
        <w:tc>
          <w:tcPr>
            <w:tcW w:w="1632"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2206"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1970" w:type="dxa"/>
            <w:noWrap w:val="0"/>
            <w:vAlign w:val="center"/>
          </w:tcPr>
          <w:p>
            <w:pPr>
              <w:pStyle w:val="5"/>
              <w:spacing w:line="336" w:lineRule="auto"/>
              <w:ind w:firstLine="0" w:firstLineChars="0"/>
              <w:jc w:val="center"/>
              <w:rPr>
                <w:rFonts w:hint="eastAsia" w:ascii="宋体" w:hAnsi="宋体" w:cs="宋体"/>
                <w:bCs/>
                <w:sz w:val="24"/>
                <w:szCs w:val="24"/>
              </w:rPr>
            </w:pPr>
            <w:r>
              <w:rPr>
                <w:rFonts w:hint="eastAsia" w:ascii="宋体" w:hAnsi="宋体" w:cs="宋体"/>
                <w:bCs/>
                <w:sz w:val="24"/>
                <w:szCs w:val="24"/>
              </w:rPr>
              <w:t>第七个托管周期</w:t>
            </w:r>
          </w:p>
        </w:tc>
        <w:tc>
          <w:tcPr>
            <w:tcW w:w="2135"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1232" w:type="dxa"/>
            <w:vMerge w:val="continue"/>
            <w:noWrap w:val="0"/>
            <w:vAlign w:val="center"/>
          </w:tcPr>
          <w:p>
            <w:pPr>
              <w:pStyle w:val="5"/>
              <w:spacing w:line="336" w:lineRule="auto"/>
              <w:ind w:hanging="10" w:firstLineChars="0"/>
              <w:jc w:val="center"/>
              <w:rPr>
                <w:rFonts w:hint="eastAsia" w:ascii="宋体" w:hAnsi="宋体" w:cs="宋体"/>
                <w:sz w:val="24"/>
                <w:szCs w:val="24"/>
              </w:rPr>
            </w:pPr>
          </w:p>
        </w:tc>
        <w:tc>
          <w:tcPr>
            <w:tcW w:w="1632"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2206"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1970" w:type="dxa"/>
            <w:noWrap w:val="0"/>
            <w:vAlign w:val="center"/>
          </w:tcPr>
          <w:p>
            <w:pPr>
              <w:pStyle w:val="5"/>
              <w:spacing w:line="336" w:lineRule="auto"/>
              <w:ind w:firstLine="0" w:firstLineChars="0"/>
              <w:jc w:val="center"/>
              <w:rPr>
                <w:rFonts w:hint="eastAsia" w:ascii="宋体" w:hAnsi="宋体" w:cs="宋体"/>
                <w:bCs/>
                <w:sz w:val="24"/>
                <w:szCs w:val="24"/>
              </w:rPr>
            </w:pPr>
            <w:r>
              <w:rPr>
                <w:rFonts w:hint="eastAsia" w:ascii="宋体" w:hAnsi="宋体" w:cs="宋体"/>
                <w:bCs/>
                <w:sz w:val="24"/>
                <w:szCs w:val="24"/>
              </w:rPr>
              <w:t>第八个托管周期</w:t>
            </w:r>
          </w:p>
        </w:tc>
        <w:tc>
          <w:tcPr>
            <w:tcW w:w="2135"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1232" w:type="dxa"/>
            <w:vMerge w:val="continue"/>
            <w:noWrap w:val="0"/>
            <w:vAlign w:val="center"/>
          </w:tcPr>
          <w:p>
            <w:pPr>
              <w:pStyle w:val="5"/>
              <w:spacing w:line="336" w:lineRule="auto"/>
              <w:ind w:hanging="10" w:firstLineChars="0"/>
              <w:jc w:val="center"/>
              <w:rPr>
                <w:rFonts w:hint="eastAsia" w:ascii="宋体" w:hAnsi="宋体" w:cs="宋体"/>
                <w:sz w:val="24"/>
                <w:szCs w:val="24"/>
              </w:rPr>
            </w:pPr>
          </w:p>
        </w:tc>
        <w:tc>
          <w:tcPr>
            <w:tcW w:w="1632"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2206"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1970" w:type="dxa"/>
            <w:noWrap w:val="0"/>
            <w:vAlign w:val="center"/>
          </w:tcPr>
          <w:p>
            <w:pPr>
              <w:pStyle w:val="5"/>
              <w:spacing w:line="336" w:lineRule="auto"/>
              <w:ind w:firstLine="0" w:firstLineChars="0"/>
              <w:jc w:val="center"/>
              <w:rPr>
                <w:rFonts w:hint="eastAsia" w:ascii="宋体" w:hAnsi="宋体" w:cs="宋体"/>
                <w:bCs/>
                <w:sz w:val="24"/>
                <w:szCs w:val="24"/>
              </w:rPr>
            </w:pPr>
            <w:r>
              <w:rPr>
                <w:rFonts w:hint="eastAsia" w:ascii="宋体" w:hAnsi="宋体" w:cs="宋体"/>
                <w:bCs/>
                <w:sz w:val="24"/>
                <w:szCs w:val="24"/>
              </w:rPr>
              <w:t>第九个托管周期</w:t>
            </w:r>
          </w:p>
        </w:tc>
        <w:tc>
          <w:tcPr>
            <w:tcW w:w="2135"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1232" w:type="dxa"/>
            <w:vMerge w:val="continue"/>
            <w:noWrap w:val="0"/>
            <w:vAlign w:val="center"/>
          </w:tcPr>
          <w:p>
            <w:pPr>
              <w:pStyle w:val="5"/>
              <w:spacing w:line="336" w:lineRule="auto"/>
              <w:ind w:hanging="10" w:firstLineChars="0"/>
              <w:jc w:val="center"/>
              <w:rPr>
                <w:rFonts w:hint="eastAsia" w:ascii="宋体" w:hAnsi="宋体" w:cs="宋体"/>
                <w:sz w:val="24"/>
                <w:szCs w:val="24"/>
              </w:rPr>
            </w:pPr>
          </w:p>
        </w:tc>
        <w:tc>
          <w:tcPr>
            <w:tcW w:w="1632"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2206" w:type="dxa"/>
            <w:vMerge w:val="continue"/>
            <w:noWrap w:val="0"/>
            <w:vAlign w:val="center"/>
          </w:tcPr>
          <w:p>
            <w:pPr>
              <w:pStyle w:val="5"/>
              <w:spacing w:line="336" w:lineRule="auto"/>
              <w:ind w:firstLine="0" w:firstLineChars="0"/>
              <w:jc w:val="center"/>
              <w:rPr>
                <w:rFonts w:hint="eastAsia" w:ascii="宋体" w:hAnsi="宋体" w:cs="宋体"/>
                <w:sz w:val="24"/>
                <w:szCs w:val="24"/>
              </w:rPr>
            </w:pPr>
          </w:p>
        </w:tc>
        <w:tc>
          <w:tcPr>
            <w:tcW w:w="1970" w:type="dxa"/>
            <w:noWrap w:val="0"/>
            <w:vAlign w:val="center"/>
          </w:tcPr>
          <w:p>
            <w:pPr>
              <w:pStyle w:val="5"/>
              <w:spacing w:line="336" w:lineRule="auto"/>
              <w:ind w:firstLine="0" w:firstLineChars="0"/>
              <w:jc w:val="center"/>
              <w:rPr>
                <w:rFonts w:hint="eastAsia" w:ascii="宋体" w:hAnsi="宋体" w:cs="宋体"/>
                <w:bCs/>
                <w:sz w:val="24"/>
                <w:szCs w:val="24"/>
              </w:rPr>
            </w:pPr>
            <w:r>
              <w:rPr>
                <w:rFonts w:hint="eastAsia" w:ascii="宋体" w:hAnsi="宋体" w:cs="宋体"/>
                <w:bCs/>
                <w:sz w:val="24"/>
                <w:szCs w:val="24"/>
              </w:rPr>
              <w:t>第十个</w:t>
            </w:r>
            <w:r>
              <w:rPr>
                <w:rFonts w:hint="eastAsia" w:ascii="宋体" w:hAnsi="宋体" w:cs="宋体"/>
                <w:sz w:val="24"/>
                <w:szCs w:val="24"/>
              </w:rPr>
              <w:t>托管</w:t>
            </w:r>
            <w:r>
              <w:rPr>
                <w:rFonts w:hint="eastAsia" w:ascii="宋体" w:hAnsi="宋体" w:cs="宋体"/>
                <w:bCs/>
                <w:sz w:val="24"/>
                <w:szCs w:val="24"/>
              </w:rPr>
              <w:t>周期</w:t>
            </w:r>
          </w:p>
        </w:tc>
        <w:tc>
          <w:tcPr>
            <w:tcW w:w="2135" w:type="dxa"/>
            <w:noWrap w:val="0"/>
            <w:vAlign w:val="center"/>
          </w:tcPr>
          <w:p>
            <w:pPr>
              <w:pStyle w:val="5"/>
              <w:spacing w:line="336" w:lineRule="auto"/>
              <w:ind w:firstLine="0" w:firstLineChars="0"/>
              <w:jc w:val="center"/>
              <w:rPr>
                <w:rFonts w:hint="eastAsia" w:ascii="宋体" w:hAnsi="宋体" w:cs="宋体"/>
                <w:sz w:val="24"/>
                <w:szCs w:val="24"/>
              </w:rPr>
            </w:pPr>
            <w:r>
              <w:rPr>
                <w:rFonts w:hint="eastAsia" w:ascii="宋体" w:hAnsi="宋体" w:cs="宋体"/>
                <w:sz w:val="24"/>
                <w:szCs w:val="24"/>
              </w:rPr>
              <w:t>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5"/>
            <w:noWrap w:val="0"/>
            <w:vAlign w:val="top"/>
          </w:tcPr>
          <w:p>
            <w:pPr>
              <w:pStyle w:val="5"/>
              <w:spacing w:line="360" w:lineRule="auto"/>
              <w:ind w:left="9" w:leftChars="-30" w:hanging="72" w:hangingChars="30"/>
              <w:jc w:val="left"/>
              <w:rPr>
                <w:rFonts w:hint="eastAsia" w:ascii="宋体" w:hAnsi="宋体" w:cs="宋体"/>
                <w:kern w:val="0"/>
                <w:sz w:val="24"/>
                <w:szCs w:val="24"/>
              </w:rPr>
            </w:pPr>
            <w:r>
              <w:rPr>
                <w:rFonts w:hint="eastAsia" w:ascii="宋体" w:hAnsi="宋体" w:cs="宋体"/>
                <w:sz w:val="24"/>
                <w:szCs w:val="24"/>
              </w:rPr>
              <w:t>注:</w:t>
            </w:r>
            <w:r>
              <w:rPr>
                <w:rFonts w:hint="eastAsia" w:ascii="宋体" w:hAnsi="宋体" w:cs="宋体"/>
                <w:kern w:val="0"/>
                <w:sz w:val="24"/>
                <w:szCs w:val="24"/>
              </w:rPr>
              <w:t xml:space="preserve"> </w:t>
            </w:r>
          </w:p>
          <w:p>
            <w:pPr>
              <w:pStyle w:val="5"/>
              <w:numPr>
                <w:ilvl w:val="0"/>
                <w:numId w:val="3"/>
              </w:numPr>
              <w:spacing w:line="360" w:lineRule="auto"/>
              <w:ind w:firstLine="480"/>
              <w:rPr>
                <w:rFonts w:hint="eastAsia" w:ascii="宋体" w:hAnsi="宋体" w:cs="宋体"/>
                <w:sz w:val="24"/>
                <w:szCs w:val="24"/>
              </w:rPr>
            </w:pPr>
            <w:r>
              <w:rPr>
                <w:rFonts w:hint="eastAsia" w:ascii="宋体" w:hAnsi="宋体" w:cs="宋体"/>
                <w:sz w:val="24"/>
                <w:szCs w:val="24"/>
              </w:rPr>
              <w:t>供应商须对第一个托管周期“能源托管费”（以元为单位）进行报价，并逐个列出第二到第十个托管周期的“能源托管费”（以元为单位）。供应商所报价格不得超过采购人拟定的第一个托管周期“能源托管费”最高限价，所列出的第二到第十个托管周期的“能源托管费”也不得高于对应托管周期的“能源托管周期服务费”最高限价。注：十个托管周期的“能源托管费”最高限价基于招标当月能源单价费用和边界条件，中标后如遇能源单价调整、边界调整等因素，由甲乙双方根据“四、付款方式及费用调整”中相关约定协商调整。</w:t>
            </w:r>
          </w:p>
          <w:p>
            <w:pPr>
              <w:pStyle w:val="5"/>
              <w:numPr>
                <w:ilvl w:val="0"/>
                <w:numId w:val="3"/>
              </w:numPr>
              <w:spacing w:line="360" w:lineRule="auto"/>
              <w:ind w:firstLine="480"/>
              <w:rPr>
                <w:rFonts w:hint="eastAsia" w:ascii="宋体" w:hAnsi="宋体" w:cs="宋体"/>
                <w:sz w:val="24"/>
                <w:szCs w:val="24"/>
              </w:rPr>
            </w:pPr>
            <w:r>
              <w:rPr>
                <w:rFonts w:hint="eastAsia" w:ascii="宋体" w:hAnsi="宋体" w:cs="宋体"/>
                <w:sz w:val="24"/>
                <w:szCs w:val="24"/>
              </w:rPr>
              <w:t>投标报价应包括服务所涉及的所有费用，采购人除按能源托管费用支付外，将不再承担其他任何费用（注：如遇极端天气、地震灾害、外力破坏及其他不可抗因素导致的采购货物（服务）设备及软件损坏，可依据实际情况经采购人和供应商双方协商后进行费用调整）。能源托管期满且采购人与供应商完成托管期内费用结算后，节能设备所有权归采购人所有。</w:t>
            </w:r>
          </w:p>
          <w:p>
            <w:pPr>
              <w:pStyle w:val="5"/>
              <w:numPr>
                <w:ilvl w:val="0"/>
                <w:numId w:val="3"/>
              </w:numPr>
              <w:spacing w:line="360" w:lineRule="auto"/>
              <w:ind w:firstLine="480"/>
              <w:jc w:val="left"/>
              <w:rPr>
                <w:rFonts w:hint="eastAsia" w:ascii="宋体" w:hAnsi="宋体" w:cs="宋体"/>
                <w:sz w:val="24"/>
                <w:szCs w:val="24"/>
              </w:rPr>
            </w:pPr>
            <w:r>
              <w:rPr>
                <w:rFonts w:hint="eastAsia" w:ascii="宋体" w:hAnsi="宋体" w:cs="宋体"/>
                <w:sz w:val="24"/>
                <w:szCs w:val="24"/>
              </w:rPr>
              <w:t>智慧运营管理平台部署及节能技改建设期为自开工日期起180日历天，建设期满并经采购人验收合格后的能源托管服务期限为10年（每12个月为一个托管周期，共120个月）。</w:t>
            </w:r>
          </w:p>
          <w:p>
            <w:pPr>
              <w:pStyle w:val="5"/>
              <w:numPr>
                <w:ilvl w:val="0"/>
                <w:numId w:val="3"/>
              </w:numPr>
              <w:spacing w:line="360" w:lineRule="auto"/>
              <w:ind w:firstLine="480"/>
              <w:jc w:val="left"/>
              <w:rPr>
                <w:rFonts w:hint="eastAsia" w:ascii="宋体" w:hAnsi="宋体" w:cs="宋体"/>
                <w:sz w:val="24"/>
                <w:szCs w:val="24"/>
              </w:rPr>
            </w:pPr>
            <w:r>
              <w:rPr>
                <w:rFonts w:hint="eastAsia" w:ascii="宋体" w:hAnsi="宋体" w:cs="宋体"/>
                <w:sz w:val="24"/>
                <w:szCs w:val="24"/>
              </w:rPr>
              <w:t>不满足或不接受上述条款的均视为无效投标。</w:t>
            </w:r>
          </w:p>
        </w:tc>
      </w:tr>
    </w:tbl>
    <w:p>
      <w:pPr>
        <w:pStyle w:val="5"/>
        <w:keepNext/>
        <w:keepLines/>
        <w:numPr>
          <w:ilvl w:val="2"/>
          <w:numId w:val="2"/>
        </w:numPr>
        <w:spacing w:before="100" w:beforeAutospacing="1" w:after="240" w:afterLines="100"/>
        <w:ind w:firstLine="480"/>
        <w:outlineLvl w:val="2"/>
        <w:rPr>
          <w:rFonts w:hint="eastAsia" w:ascii="宋体" w:hAnsi="宋体" w:cs="宋体"/>
          <w:bCs/>
          <w:sz w:val="24"/>
          <w:szCs w:val="24"/>
        </w:rPr>
      </w:pPr>
      <w:bookmarkStart w:id="16" w:name="_Toc124331568"/>
      <w:bookmarkStart w:id="17" w:name="_Toc86422838"/>
      <w:bookmarkStart w:id="18" w:name="_Ref87276227"/>
      <w:r>
        <w:rPr>
          <w:rFonts w:hint="eastAsia" w:ascii="宋体" w:hAnsi="宋体" w:cs="宋体"/>
          <w:bCs/>
          <w:sz w:val="24"/>
          <w:szCs w:val="24"/>
        </w:rPr>
        <w:t>项目服务需求</w:t>
      </w:r>
      <w:bookmarkEnd w:id="16"/>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服务内容需求清单</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本项目采用能源费用托管型合同能源管理模式，由采购人委托供应商进行医院能源系统的运行、管理、维护或(和)节能改造。</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供应商需提供的服务内容清单（包含不限于以下内容）：</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6"/>
        <w:gridCol w:w="2616"/>
        <w:gridCol w:w="5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46" w:type="dxa"/>
            <w:noWrap w:val="0"/>
            <w:vAlign w:val="center"/>
          </w:tcPr>
          <w:p>
            <w:pPr>
              <w:pStyle w:val="5"/>
              <w:spacing w:line="400" w:lineRule="exact"/>
              <w:ind w:firstLine="480"/>
              <w:rPr>
                <w:rFonts w:hint="eastAsia" w:ascii="宋体" w:hAnsi="宋体" w:cs="宋体"/>
                <w:sz w:val="24"/>
                <w:szCs w:val="24"/>
              </w:rPr>
            </w:pPr>
            <w:bookmarkStart w:id="19" w:name="_Hlk114774499"/>
            <w:r>
              <w:rPr>
                <w:rFonts w:hint="eastAsia" w:ascii="宋体" w:hAnsi="宋体" w:cs="宋体"/>
                <w:sz w:val="24"/>
                <w:szCs w:val="24"/>
              </w:rPr>
              <w:t>序号</w:t>
            </w:r>
          </w:p>
        </w:tc>
        <w:tc>
          <w:tcPr>
            <w:tcW w:w="2616" w:type="dxa"/>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项目</w:t>
            </w:r>
          </w:p>
        </w:tc>
        <w:tc>
          <w:tcPr>
            <w:tcW w:w="0" w:type="auto"/>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1</w:t>
            </w:r>
          </w:p>
        </w:tc>
        <w:tc>
          <w:tcPr>
            <w:tcW w:w="0" w:type="auto"/>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能源供应</w:t>
            </w:r>
          </w:p>
        </w:tc>
        <w:tc>
          <w:tcPr>
            <w:tcW w:w="0" w:type="auto"/>
            <w:noWrap w:val="0"/>
            <w:vAlign w:val="center"/>
          </w:tcPr>
          <w:p>
            <w:pPr>
              <w:pStyle w:val="5"/>
              <w:spacing w:line="400" w:lineRule="exact"/>
              <w:ind w:firstLine="480"/>
              <w:jc w:val="left"/>
              <w:rPr>
                <w:rFonts w:hint="eastAsia" w:ascii="宋体" w:hAnsi="宋体" w:cs="宋体"/>
                <w:i/>
                <w:iCs/>
                <w:color w:val="4F81BD"/>
                <w:sz w:val="24"/>
                <w:szCs w:val="24"/>
              </w:rPr>
            </w:pPr>
            <w:r>
              <w:rPr>
                <w:rFonts w:hint="eastAsia" w:ascii="宋体" w:hAnsi="宋体" w:cs="宋体"/>
                <w:iCs/>
                <w:sz w:val="24"/>
                <w:szCs w:val="24"/>
              </w:rPr>
              <w:t>宜都市人民医院主院区目前运营各楼栋的用水、用电、用气供应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2</w:t>
            </w:r>
          </w:p>
        </w:tc>
        <w:tc>
          <w:tcPr>
            <w:tcW w:w="0" w:type="auto"/>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技术节能改造</w:t>
            </w:r>
          </w:p>
        </w:tc>
        <w:tc>
          <w:tcPr>
            <w:tcW w:w="0" w:type="auto"/>
            <w:noWrap w:val="0"/>
            <w:vAlign w:val="center"/>
          </w:tcPr>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中央空调群控系统改造</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空调末端控制器改造</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电开水器智能控制改造</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智能声、光控改造</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电梯能量回馈改造</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热水循环泵变频改造</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气候补偿改造等节能技改</w:t>
            </w:r>
          </w:p>
          <w:p>
            <w:pPr>
              <w:pStyle w:val="5"/>
              <w:spacing w:line="400" w:lineRule="exact"/>
              <w:ind w:firstLine="480"/>
              <w:jc w:val="left"/>
              <w:rPr>
                <w:rFonts w:hint="eastAsia" w:ascii="宋体" w:hAnsi="宋体" w:cs="宋体"/>
                <w:color w:val="4F81BD"/>
                <w:sz w:val="24"/>
                <w:szCs w:val="24"/>
              </w:rPr>
            </w:pPr>
            <w:r>
              <w:rPr>
                <w:rFonts w:hint="eastAsia" w:ascii="宋体" w:hAnsi="宋体" w:cs="宋体"/>
                <w:iCs/>
                <w:sz w:val="24"/>
                <w:szCs w:val="24"/>
              </w:rPr>
              <w:t>节能技改设备培训辅导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3</w:t>
            </w:r>
          </w:p>
        </w:tc>
        <w:tc>
          <w:tcPr>
            <w:tcW w:w="0" w:type="auto"/>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平台部署</w:t>
            </w:r>
          </w:p>
        </w:tc>
        <w:tc>
          <w:tcPr>
            <w:tcW w:w="0" w:type="auto"/>
            <w:noWrap w:val="0"/>
            <w:vAlign w:val="center"/>
          </w:tcPr>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服务器部署</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一站式中心建设（包含大屏等）</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部署调试（含初次定制化需求）</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平台技改设备培训辅导</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流程引擎初始化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4</w:t>
            </w:r>
          </w:p>
        </w:tc>
        <w:tc>
          <w:tcPr>
            <w:tcW w:w="0" w:type="auto"/>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子系统部署</w:t>
            </w:r>
          </w:p>
        </w:tc>
        <w:tc>
          <w:tcPr>
            <w:tcW w:w="0" w:type="auto"/>
            <w:noWrap w:val="0"/>
            <w:vAlign w:val="center"/>
          </w:tcPr>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能源管理系统</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设备管理系统</w:t>
            </w:r>
          </w:p>
          <w:p>
            <w:pPr>
              <w:pStyle w:val="5"/>
              <w:spacing w:line="400" w:lineRule="exact"/>
              <w:ind w:firstLine="480"/>
              <w:jc w:val="left"/>
              <w:rPr>
                <w:rFonts w:hint="eastAsia" w:ascii="宋体" w:hAnsi="宋体" w:cs="宋体"/>
                <w:i/>
                <w:iCs/>
                <w:color w:val="4F81BD"/>
                <w:sz w:val="24"/>
                <w:szCs w:val="24"/>
              </w:rPr>
            </w:pPr>
            <w:r>
              <w:rPr>
                <w:rFonts w:hint="eastAsia" w:ascii="宋体" w:hAnsi="宋体" w:cs="宋体"/>
                <w:iCs/>
                <w:sz w:val="24"/>
                <w:szCs w:val="24"/>
              </w:rPr>
              <w:t>综合监控系统系统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7</w:t>
            </w:r>
          </w:p>
        </w:tc>
        <w:tc>
          <w:tcPr>
            <w:tcW w:w="0" w:type="auto"/>
            <w:noWrap w:val="0"/>
            <w:vAlign w:val="center"/>
          </w:tcPr>
          <w:p>
            <w:pPr>
              <w:pStyle w:val="5"/>
              <w:spacing w:line="400" w:lineRule="exact"/>
              <w:ind w:firstLine="480"/>
              <w:rPr>
                <w:rFonts w:hint="eastAsia" w:ascii="宋体" w:hAnsi="宋体" w:cs="宋体"/>
                <w:sz w:val="24"/>
                <w:szCs w:val="24"/>
              </w:rPr>
            </w:pPr>
            <w:r>
              <w:rPr>
                <w:rFonts w:hint="eastAsia" w:ascii="宋体" w:hAnsi="宋体" w:cs="宋体"/>
                <w:sz w:val="24"/>
                <w:szCs w:val="24"/>
              </w:rPr>
              <w:t>综合能源管理服务</w:t>
            </w:r>
          </w:p>
        </w:tc>
        <w:tc>
          <w:tcPr>
            <w:tcW w:w="0" w:type="auto"/>
            <w:noWrap w:val="0"/>
            <w:vAlign w:val="center"/>
          </w:tcPr>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智慧平台维保</w:t>
            </w:r>
          </w:p>
          <w:p>
            <w:pPr>
              <w:pStyle w:val="5"/>
              <w:spacing w:line="400" w:lineRule="exact"/>
              <w:ind w:firstLine="480"/>
              <w:jc w:val="left"/>
              <w:rPr>
                <w:rFonts w:hint="eastAsia" w:ascii="宋体" w:hAnsi="宋体" w:cs="宋体"/>
                <w:iCs/>
                <w:sz w:val="24"/>
                <w:szCs w:val="24"/>
              </w:rPr>
            </w:pPr>
            <w:r>
              <w:rPr>
                <w:rFonts w:hint="eastAsia" w:ascii="宋体" w:hAnsi="宋体" w:cs="宋体"/>
                <w:iCs/>
                <w:sz w:val="24"/>
                <w:szCs w:val="24"/>
              </w:rPr>
              <w:t>10年技改设备维保服务</w:t>
            </w:r>
          </w:p>
          <w:p>
            <w:pPr>
              <w:pStyle w:val="5"/>
              <w:spacing w:line="400" w:lineRule="exact"/>
              <w:ind w:firstLine="480"/>
              <w:jc w:val="left"/>
              <w:rPr>
                <w:rFonts w:hint="eastAsia" w:ascii="宋体" w:hAnsi="宋体" w:cs="宋体"/>
                <w:i/>
                <w:iCs/>
                <w:color w:val="4F81BD"/>
                <w:sz w:val="24"/>
                <w:szCs w:val="24"/>
              </w:rPr>
            </w:pPr>
            <w:r>
              <w:rPr>
                <w:rFonts w:hint="eastAsia" w:ascii="宋体" w:hAnsi="宋体" w:cs="宋体"/>
                <w:iCs/>
                <w:sz w:val="24"/>
                <w:szCs w:val="24"/>
              </w:rPr>
              <w:t>能源经理服务</w:t>
            </w:r>
          </w:p>
        </w:tc>
      </w:tr>
      <w:bookmarkEnd w:id="19"/>
    </w:tbl>
    <w:p>
      <w:pPr>
        <w:pStyle w:val="5"/>
        <w:keepNext/>
        <w:keepLines/>
        <w:numPr>
          <w:ilvl w:val="3"/>
          <w:numId w:val="2"/>
        </w:numPr>
        <w:spacing w:before="280" w:after="240" w:line="376" w:lineRule="auto"/>
        <w:ind w:firstLine="482"/>
        <w:outlineLvl w:val="3"/>
        <w:rPr>
          <w:rFonts w:hint="eastAsia" w:ascii="宋体" w:hAnsi="宋体" w:cs="宋体"/>
          <w:b/>
          <w:bCs/>
          <w:sz w:val="24"/>
          <w:szCs w:val="24"/>
        </w:rPr>
      </w:pPr>
      <w:bookmarkStart w:id="20" w:name="_Ref87547104"/>
      <w:r>
        <w:rPr>
          <w:rFonts w:hint="eastAsia" w:ascii="宋体" w:hAnsi="宋体" w:cs="宋体"/>
          <w:b/>
          <w:bCs/>
          <w:sz w:val="24"/>
          <w:szCs w:val="24"/>
        </w:rPr>
        <w:t>能源供应与服务要求</w:t>
      </w:r>
      <w:bookmarkEnd w:id="20"/>
    </w:p>
    <w:p>
      <w:pPr>
        <w:pStyle w:val="5"/>
        <w:numPr>
          <w:ilvl w:val="0"/>
          <w:numId w:val="4"/>
        </w:numPr>
        <w:spacing w:line="440" w:lineRule="exact"/>
        <w:ind w:firstLine="480"/>
        <w:rPr>
          <w:rFonts w:hint="eastAsia" w:ascii="宋体" w:hAnsi="宋体" w:cs="宋体"/>
          <w:sz w:val="24"/>
          <w:szCs w:val="24"/>
        </w:rPr>
      </w:pPr>
      <w:r>
        <w:rPr>
          <w:rFonts w:hint="eastAsia" w:ascii="宋体" w:hAnsi="宋体" w:cs="宋体"/>
          <w:bCs/>
          <w:sz w:val="24"/>
          <w:szCs w:val="24"/>
        </w:rPr>
        <w:t>空调集中供冷时间拟为5月25日至9月20日，历时118天。其它时间段，如遇气温高于30℃可适时开启空调系统供冷。供冷时，室内温度范围26±2℃。</w:t>
      </w:r>
    </w:p>
    <w:p>
      <w:pPr>
        <w:pStyle w:val="5"/>
        <w:numPr>
          <w:ilvl w:val="0"/>
          <w:numId w:val="4"/>
        </w:numPr>
        <w:spacing w:line="440" w:lineRule="exact"/>
        <w:ind w:firstLine="480"/>
        <w:rPr>
          <w:rFonts w:hint="eastAsia" w:ascii="宋体" w:hAnsi="宋体" w:cs="宋体"/>
          <w:bCs/>
          <w:sz w:val="24"/>
          <w:szCs w:val="24"/>
        </w:rPr>
      </w:pPr>
      <w:r>
        <w:rPr>
          <w:rFonts w:hint="eastAsia" w:ascii="宋体" w:hAnsi="宋体" w:cs="宋体"/>
          <w:bCs/>
          <w:sz w:val="24"/>
          <w:szCs w:val="24"/>
        </w:rPr>
        <w:t>空调集中供暖时间拟为12月1日至次年3月15日，历时115天。其它时间段，如遇气温低于5℃可适时开启空调系统供暖。供暖时，室内温度范围18±2℃。</w:t>
      </w:r>
    </w:p>
    <w:p>
      <w:pPr>
        <w:pStyle w:val="5"/>
        <w:numPr>
          <w:ilvl w:val="0"/>
          <w:numId w:val="4"/>
        </w:numPr>
        <w:spacing w:line="440" w:lineRule="exact"/>
        <w:ind w:firstLine="480"/>
        <w:rPr>
          <w:rFonts w:hint="eastAsia" w:ascii="宋体" w:hAnsi="宋体" w:cs="宋体"/>
          <w:bCs/>
          <w:sz w:val="24"/>
          <w:szCs w:val="24"/>
        </w:rPr>
      </w:pPr>
      <w:r>
        <w:rPr>
          <w:rFonts w:hint="eastAsia" w:ascii="宋体" w:hAnsi="宋体" w:cs="宋体"/>
          <w:bCs/>
          <w:sz w:val="24"/>
          <w:szCs w:val="24"/>
        </w:rPr>
        <w:t>服务要求：由于医院用能的特殊性，所有用能设备系统以及医院智慧运营管理平台的主动管控权由院方合理管控，供应商须在院方认可的情况下对用能设备进行合理提醒并协助管控。</w:t>
      </w:r>
    </w:p>
    <w:p>
      <w:pPr>
        <w:pStyle w:val="5"/>
        <w:numPr>
          <w:ilvl w:val="0"/>
          <w:numId w:val="4"/>
        </w:numPr>
        <w:spacing w:line="440" w:lineRule="exact"/>
        <w:ind w:firstLine="480"/>
        <w:rPr>
          <w:rFonts w:hint="eastAsia" w:ascii="宋体" w:hAnsi="宋体" w:cs="宋体"/>
          <w:bCs/>
          <w:sz w:val="24"/>
          <w:szCs w:val="24"/>
        </w:rPr>
      </w:pPr>
      <w:r>
        <w:rPr>
          <w:rFonts w:hint="eastAsia" w:ascii="宋体" w:hAnsi="宋体" w:cs="宋体"/>
          <w:bCs/>
          <w:sz w:val="24"/>
          <w:szCs w:val="24"/>
        </w:rPr>
        <w:t>项目保障：协助采购人建立健全医院能源管理相关规章制度、工作流程等体系，并协助采购人执行。</w:t>
      </w:r>
    </w:p>
    <w:p>
      <w:pPr>
        <w:pStyle w:val="5"/>
        <w:keepNext/>
        <w:keepLines/>
        <w:numPr>
          <w:ilvl w:val="2"/>
          <w:numId w:val="2"/>
        </w:numPr>
        <w:spacing w:before="100" w:beforeAutospacing="1" w:after="240" w:afterLines="100"/>
        <w:ind w:firstLine="480"/>
        <w:outlineLvl w:val="2"/>
        <w:rPr>
          <w:rFonts w:hint="eastAsia" w:ascii="宋体" w:hAnsi="宋体" w:cs="宋体"/>
          <w:bCs/>
          <w:sz w:val="24"/>
          <w:szCs w:val="24"/>
        </w:rPr>
      </w:pPr>
      <w:bookmarkStart w:id="21" w:name="_Toc124331569"/>
      <w:r>
        <w:rPr>
          <w:rFonts w:hint="eastAsia" w:ascii="宋体" w:hAnsi="宋体" w:cs="宋体"/>
          <w:bCs/>
          <w:sz w:val="24"/>
          <w:szCs w:val="24"/>
        </w:rPr>
        <w:t>项目建设范围及施工要求</w:t>
      </w:r>
      <w:bookmarkEnd w:id="21"/>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建设范围</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本项目建设范围包含：</w:t>
      </w:r>
      <w:r>
        <w:rPr>
          <w:rFonts w:hint="eastAsia" w:ascii="宋体" w:hAnsi="宋体" w:cs="宋体"/>
          <w:iCs/>
          <w:sz w:val="24"/>
          <w:szCs w:val="24"/>
        </w:rPr>
        <w:t>中央空调群控系统改造、空调末端控制器改造、电开水器智能控制改造、智能声、光控改造、电梯能量回馈改造、热水循环泵变频改造、气候补偿改造、能源管理系统、综合监控系统、设备管理系统、智慧运营管理平台</w:t>
      </w:r>
      <w:r>
        <w:rPr>
          <w:rFonts w:hint="eastAsia" w:ascii="宋体" w:hAnsi="宋体" w:cs="宋体"/>
          <w:sz w:val="24"/>
          <w:szCs w:val="24"/>
        </w:rPr>
        <w:t>等方面内容。</w:t>
      </w: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施工要求</w:t>
      </w:r>
    </w:p>
    <w:p>
      <w:pPr>
        <w:pStyle w:val="5"/>
        <w:numPr>
          <w:ilvl w:val="0"/>
          <w:numId w:val="5"/>
        </w:numPr>
        <w:adjustRightInd w:val="0"/>
        <w:snapToGrid w:val="0"/>
        <w:spacing w:line="360" w:lineRule="auto"/>
        <w:ind w:firstLine="480"/>
        <w:rPr>
          <w:rFonts w:hint="eastAsia" w:ascii="宋体" w:hAnsi="宋体" w:cs="宋体"/>
          <w:bCs/>
          <w:sz w:val="24"/>
          <w:szCs w:val="24"/>
        </w:rPr>
      </w:pPr>
      <w:r>
        <w:rPr>
          <w:rFonts w:hint="eastAsia" w:ascii="宋体" w:hAnsi="宋体" w:cs="宋体"/>
          <w:bCs/>
          <w:sz w:val="24"/>
          <w:szCs w:val="24"/>
        </w:rPr>
        <w:t>由供应商根据现场调研情况，因地制宜，选择技术先进、经济合理的技术或产品，技术或产品要求技术成熟、稳定可靠。改造应在不对医院造成重大影响的情况进行，而且不应影响原有系统的正常运行。</w:t>
      </w:r>
    </w:p>
    <w:p>
      <w:pPr>
        <w:pStyle w:val="5"/>
        <w:numPr>
          <w:ilvl w:val="0"/>
          <w:numId w:val="5"/>
        </w:numPr>
        <w:adjustRightInd w:val="0"/>
        <w:snapToGrid w:val="0"/>
        <w:spacing w:line="360" w:lineRule="auto"/>
        <w:ind w:firstLine="480"/>
        <w:rPr>
          <w:rFonts w:hint="eastAsia" w:ascii="宋体" w:hAnsi="宋体" w:cs="宋体"/>
          <w:bCs/>
          <w:sz w:val="24"/>
          <w:szCs w:val="24"/>
        </w:rPr>
      </w:pPr>
      <w:r>
        <w:rPr>
          <w:rFonts w:hint="eastAsia" w:ascii="宋体" w:hAnsi="宋体" w:cs="宋体"/>
          <w:bCs/>
          <w:sz w:val="24"/>
          <w:szCs w:val="24"/>
        </w:rPr>
        <w:t>供应商应认真踏勘现场，了解熟悉工程位置地形、材料储存条件以及与相邻已建环境的关系，以取得一切可能影响投标报价的资料，合理安排组织施工。现场考察期间发生的费用由供应商自理。</w:t>
      </w:r>
    </w:p>
    <w:p>
      <w:pPr>
        <w:pStyle w:val="5"/>
        <w:numPr>
          <w:ilvl w:val="0"/>
          <w:numId w:val="5"/>
        </w:numPr>
        <w:adjustRightInd w:val="0"/>
        <w:snapToGrid w:val="0"/>
        <w:spacing w:line="360" w:lineRule="auto"/>
        <w:ind w:firstLine="480"/>
        <w:rPr>
          <w:rFonts w:hint="eastAsia" w:ascii="宋体" w:hAnsi="宋体" w:cs="宋体"/>
          <w:bCs/>
          <w:sz w:val="24"/>
          <w:szCs w:val="24"/>
        </w:rPr>
      </w:pPr>
      <w:r>
        <w:rPr>
          <w:rFonts w:hint="eastAsia" w:ascii="宋体" w:hAnsi="宋体" w:cs="宋体"/>
          <w:bCs/>
          <w:sz w:val="24"/>
          <w:szCs w:val="24"/>
        </w:rPr>
        <w:t>供应商应提出关于施工管理的措施及意见，包括安全、消防、治安保卫、场地清洁、绿化保护、现场管理等。特别应考虑施工期间安全问题，避免影响医院的正常医疗秩序。中标人进场后，应加强管理，做好安全、文明施工。</w:t>
      </w:r>
    </w:p>
    <w:p>
      <w:pPr>
        <w:pStyle w:val="5"/>
        <w:numPr>
          <w:ilvl w:val="0"/>
          <w:numId w:val="5"/>
        </w:numPr>
        <w:adjustRightInd w:val="0"/>
        <w:snapToGrid w:val="0"/>
        <w:spacing w:line="360" w:lineRule="auto"/>
        <w:ind w:firstLine="480"/>
        <w:rPr>
          <w:rFonts w:hint="eastAsia" w:ascii="宋体" w:hAnsi="宋体" w:cs="宋体"/>
          <w:sz w:val="24"/>
          <w:szCs w:val="24"/>
        </w:rPr>
      </w:pPr>
      <w:r>
        <w:rPr>
          <w:rFonts w:hint="eastAsia" w:ascii="宋体" w:hAnsi="宋体" w:cs="宋体"/>
          <w:bCs/>
          <w:sz w:val="24"/>
          <w:szCs w:val="24"/>
        </w:rPr>
        <w:t>供应商投入的施工机械、材料、人员均应按采购人的内部管理规定进出，</w:t>
      </w:r>
      <w:r>
        <w:rPr>
          <w:rFonts w:hint="eastAsia" w:ascii="宋体" w:hAnsi="宋体" w:cs="宋体"/>
          <w:sz w:val="24"/>
          <w:szCs w:val="24"/>
        </w:rPr>
        <w:t>并自觉做好相应登记手续。</w:t>
      </w:r>
    </w:p>
    <w:p>
      <w:pPr>
        <w:pStyle w:val="5"/>
        <w:numPr>
          <w:ilvl w:val="0"/>
          <w:numId w:val="5"/>
        </w:numPr>
        <w:adjustRightInd w:val="0"/>
        <w:snapToGrid w:val="0"/>
        <w:spacing w:line="360" w:lineRule="auto"/>
        <w:ind w:firstLine="480"/>
        <w:rPr>
          <w:rFonts w:hint="eastAsia" w:ascii="宋体" w:hAnsi="宋体" w:cs="宋体"/>
          <w:bCs/>
          <w:sz w:val="24"/>
          <w:szCs w:val="24"/>
        </w:rPr>
      </w:pPr>
      <w:r>
        <w:rPr>
          <w:rFonts w:hint="eastAsia" w:ascii="宋体" w:hAnsi="宋体" w:cs="宋体"/>
          <w:bCs/>
          <w:sz w:val="24"/>
          <w:szCs w:val="24"/>
        </w:rPr>
        <w:t>施工必要的水、电及材料堆场，由采购人协助解决。</w:t>
      </w:r>
    </w:p>
    <w:p>
      <w:pPr>
        <w:pStyle w:val="5"/>
        <w:numPr>
          <w:ilvl w:val="0"/>
          <w:numId w:val="5"/>
        </w:numPr>
        <w:adjustRightInd w:val="0"/>
        <w:snapToGrid w:val="0"/>
        <w:spacing w:line="360" w:lineRule="auto"/>
        <w:ind w:firstLine="480"/>
        <w:rPr>
          <w:rFonts w:hint="eastAsia" w:ascii="宋体" w:hAnsi="宋体" w:cs="宋体"/>
          <w:bCs/>
          <w:sz w:val="24"/>
          <w:szCs w:val="24"/>
        </w:rPr>
      </w:pPr>
      <w:r>
        <w:rPr>
          <w:rFonts w:hint="eastAsia" w:ascii="宋体" w:hAnsi="宋体" w:cs="宋体"/>
          <w:bCs/>
          <w:sz w:val="24"/>
          <w:szCs w:val="24"/>
        </w:rPr>
        <w:t>供应商拟派的施工人员，其食宿问题由供应商自行解决。</w:t>
      </w:r>
    </w:p>
    <w:p>
      <w:pPr>
        <w:pStyle w:val="5"/>
        <w:numPr>
          <w:ilvl w:val="0"/>
          <w:numId w:val="5"/>
        </w:numPr>
        <w:adjustRightInd w:val="0"/>
        <w:snapToGrid w:val="0"/>
        <w:spacing w:line="360" w:lineRule="auto"/>
        <w:ind w:firstLine="480"/>
        <w:rPr>
          <w:rFonts w:hint="eastAsia" w:ascii="宋体" w:hAnsi="宋体" w:cs="宋体"/>
          <w:bCs/>
          <w:sz w:val="24"/>
          <w:szCs w:val="24"/>
        </w:rPr>
      </w:pPr>
      <w:r>
        <w:rPr>
          <w:rFonts w:hint="eastAsia" w:ascii="宋体" w:hAnsi="宋体" w:cs="宋体"/>
          <w:bCs/>
          <w:sz w:val="24"/>
          <w:szCs w:val="24"/>
        </w:rPr>
        <w:t>改造建设投入资金由供应商全额承担。</w:t>
      </w:r>
    </w:p>
    <w:p>
      <w:pPr>
        <w:pStyle w:val="5"/>
        <w:numPr>
          <w:ilvl w:val="0"/>
          <w:numId w:val="5"/>
        </w:numPr>
        <w:adjustRightInd w:val="0"/>
        <w:snapToGrid w:val="0"/>
        <w:spacing w:line="360" w:lineRule="auto"/>
        <w:ind w:firstLine="480"/>
        <w:rPr>
          <w:rFonts w:hint="eastAsia" w:ascii="宋体" w:hAnsi="宋体" w:cs="宋体"/>
          <w:bCs/>
          <w:sz w:val="24"/>
          <w:szCs w:val="24"/>
        </w:rPr>
      </w:pPr>
      <w:r>
        <w:rPr>
          <w:rFonts w:hint="eastAsia" w:ascii="宋体" w:hAnsi="宋体" w:cs="宋体"/>
          <w:bCs/>
          <w:sz w:val="24"/>
          <w:szCs w:val="24"/>
        </w:rPr>
        <w:t>工期要求：</w:t>
      </w:r>
      <w:r>
        <w:rPr>
          <w:rFonts w:hint="eastAsia" w:ascii="宋体" w:hAnsi="宋体" w:cs="宋体"/>
          <w:bCs/>
          <w:iCs/>
          <w:sz w:val="24"/>
          <w:szCs w:val="24"/>
        </w:rPr>
        <w:t>自采购人下达开工令之日起180日历日内完成全部优化改造建设（含设备的安装调试），并交付使用。改造时不得影响医院空调、水电各系统的使用和正常医疗秩序。</w:t>
      </w:r>
    </w:p>
    <w:p>
      <w:pPr>
        <w:pStyle w:val="5"/>
        <w:keepNext/>
        <w:keepLines/>
        <w:numPr>
          <w:ilvl w:val="2"/>
          <w:numId w:val="2"/>
        </w:numPr>
        <w:spacing w:before="100" w:beforeAutospacing="1" w:after="240" w:afterLines="100"/>
        <w:ind w:firstLine="480"/>
        <w:outlineLvl w:val="2"/>
        <w:rPr>
          <w:rFonts w:hint="eastAsia" w:ascii="宋体" w:hAnsi="宋体" w:cs="宋体"/>
          <w:bCs/>
          <w:sz w:val="24"/>
          <w:szCs w:val="24"/>
        </w:rPr>
      </w:pPr>
      <w:bookmarkStart w:id="22" w:name="_Toc124331570"/>
      <w:r>
        <w:rPr>
          <w:rFonts w:hint="eastAsia" w:ascii="宋体" w:hAnsi="宋体" w:cs="宋体"/>
          <w:bCs/>
          <w:sz w:val="24"/>
          <w:szCs w:val="24"/>
        </w:rPr>
        <w:t>项目建设技术方案</w:t>
      </w:r>
      <w:bookmarkEnd w:id="22"/>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bookmarkStart w:id="23" w:name="_Hlk114087623"/>
      <w:r>
        <w:rPr>
          <w:rFonts w:hint="eastAsia" w:ascii="宋体" w:hAnsi="宋体" w:cs="宋体"/>
          <w:b/>
          <w:bCs/>
          <w:sz w:val="24"/>
          <w:szCs w:val="24"/>
        </w:rPr>
        <w:t>中央空调节能优化控制系统建设</w:t>
      </w:r>
    </w:p>
    <w:bookmarkEnd w:id="23"/>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（1）中央空调设备</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位置：总务楼</w:t>
      </w:r>
    </w:p>
    <w:tbl>
      <w:tblPr>
        <w:tblStyle w:val="3"/>
        <w:tblW w:w="5000" w:type="pct"/>
        <w:tblInd w:w="0" w:type="dxa"/>
        <w:tblLayout w:type="autofit"/>
        <w:tblCellMar>
          <w:top w:w="0" w:type="dxa"/>
          <w:left w:w="0" w:type="dxa"/>
          <w:bottom w:w="0" w:type="dxa"/>
          <w:right w:w="0" w:type="dxa"/>
        </w:tblCellMar>
      </w:tblPr>
      <w:tblGrid>
        <w:gridCol w:w="526"/>
        <w:gridCol w:w="888"/>
        <w:gridCol w:w="4701"/>
        <w:gridCol w:w="854"/>
        <w:gridCol w:w="819"/>
        <w:gridCol w:w="538"/>
      </w:tblGrid>
      <w:tr>
        <w:tblPrEx>
          <w:tblCellMar>
            <w:top w:w="0" w:type="dxa"/>
            <w:left w:w="0" w:type="dxa"/>
            <w:bottom w:w="0" w:type="dxa"/>
            <w:right w:w="0" w:type="dxa"/>
          </w:tblCellMar>
        </w:tblPrEx>
        <w:trPr>
          <w:trHeight w:val="20" w:hRule="atLeast"/>
        </w:trPr>
        <w:tc>
          <w:tcPr>
            <w:tcW w:w="5000" w:type="pct"/>
            <w:gridSpan w:val="6"/>
            <w:tcBorders>
              <w:top w:val="single" w:color="000000" w:sz="8" w:space="0"/>
              <w:left w:val="single" w:color="000000" w:sz="8" w:space="0"/>
              <w:bottom w:val="single" w:color="000000" w:sz="8" w:space="0"/>
              <w:right w:val="single" w:color="000000" w:sz="8" w:space="0"/>
            </w:tcBorders>
            <w:shd w:val="clear" w:color="auto" w:fill="8FAADC"/>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中央空调机房设备明细</w:t>
            </w:r>
          </w:p>
        </w:tc>
      </w:tr>
      <w:tr>
        <w:tblPrEx>
          <w:tblCellMar>
            <w:top w:w="0" w:type="dxa"/>
            <w:left w:w="0" w:type="dxa"/>
            <w:bottom w:w="0" w:type="dxa"/>
            <w:right w:w="0" w:type="dxa"/>
          </w:tblCellMar>
        </w:tblPrEx>
        <w:trPr>
          <w:trHeight w:val="20" w:hRule="atLeast"/>
        </w:trPr>
        <w:tc>
          <w:tcPr>
            <w:tcW w:w="316" w:type="pct"/>
            <w:tcBorders>
              <w:top w:val="single" w:color="000000" w:sz="8" w:space="0"/>
              <w:left w:val="single" w:color="000000" w:sz="8" w:space="0"/>
              <w:bottom w:val="single" w:color="000000" w:sz="8" w:space="0"/>
              <w:right w:val="single" w:color="000000" w:sz="8" w:space="0"/>
            </w:tcBorders>
            <w:shd w:val="clear" w:color="auto" w:fill="8FAADC"/>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序号</w:t>
            </w:r>
          </w:p>
        </w:tc>
        <w:tc>
          <w:tcPr>
            <w:tcW w:w="533" w:type="pct"/>
            <w:tcBorders>
              <w:top w:val="single" w:color="000000" w:sz="8" w:space="0"/>
              <w:left w:val="single" w:color="000000" w:sz="8" w:space="0"/>
              <w:bottom w:val="single" w:color="000000" w:sz="8" w:space="0"/>
              <w:right w:val="single" w:color="000000" w:sz="8" w:space="0"/>
            </w:tcBorders>
            <w:shd w:val="clear" w:color="auto" w:fill="8FAADC"/>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名称</w:t>
            </w:r>
          </w:p>
        </w:tc>
        <w:tc>
          <w:tcPr>
            <w:tcW w:w="2823" w:type="pct"/>
            <w:tcBorders>
              <w:top w:val="single" w:color="000000" w:sz="8" w:space="0"/>
              <w:left w:val="single" w:color="000000" w:sz="8" w:space="0"/>
              <w:bottom w:val="single" w:color="000000" w:sz="8" w:space="0"/>
              <w:right w:val="single" w:color="000000" w:sz="8" w:space="0"/>
            </w:tcBorders>
            <w:shd w:val="clear" w:color="auto" w:fill="8FAADC"/>
            <w:noWrap w:val="0"/>
            <w:tcMar>
              <w:top w:w="10" w:type="dxa"/>
              <w:left w:w="10" w:type="dxa"/>
              <w:bottom w:w="0" w:type="dxa"/>
              <w:right w:w="10" w:type="dxa"/>
            </w:tcMar>
            <w:vAlign w:val="center"/>
          </w:tcPr>
          <w:p>
            <w:pPr>
              <w:pStyle w:val="5"/>
              <w:snapToGrid w:val="0"/>
              <w:spacing w:line="360" w:lineRule="auto"/>
              <w:ind w:firstLine="480"/>
              <w:jc w:val="center"/>
              <w:rPr>
                <w:rFonts w:hint="eastAsia" w:ascii="宋体" w:hAnsi="宋体" w:cs="宋体"/>
                <w:sz w:val="24"/>
                <w:szCs w:val="24"/>
              </w:rPr>
            </w:pPr>
            <w:r>
              <w:rPr>
                <w:rFonts w:hint="eastAsia" w:ascii="宋体" w:hAnsi="宋体" w:cs="宋体"/>
                <w:sz w:val="24"/>
                <w:szCs w:val="24"/>
              </w:rPr>
              <w:t>主要技术参数</w:t>
            </w:r>
          </w:p>
        </w:tc>
        <w:tc>
          <w:tcPr>
            <w:tcW w:w="513" w:type="pct"/>
            <w:tcBorders>
              <w:top w:val="single" w:color="000000" w:sz="8" w:space="0"/>
              <w:left w:val="single" w:color="000000" w:sz="8" w:space="0"/>
              <w:bottom w:val="single" w:color="000000" w:sz="8" w:space="0"/>
              <w:right w:val="single" w:color="000000" w:sz="8" w:space="0"/>
            </w:tcBorders>
            <w:shd w:val="clear" w:color="auto" w:fill="8FAADC"/>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品牌</w:t>
            </w:r>
          </w:p>
        </w:tc>
        <w:tc>
          <w:tcPr>
            <w:tcW w:w="492" w:type="pct"/>
            <w:tcBorders>
              <w:top w:val="single" w:color="000000" w:sz="8" w:space="0"/>
              <w:left w:val="single" w:color="000000" w:sz="8" w:space="0"/>
              <w:bottom w:val="single" w:color="000000" w:sz="8" w:space="0"/>
              <w:right w:val="single" w:color="000000" w:sz="8" w:space="0"/>
            </w:tcBorders>
            <w:shd w:val="clear" w:color="auto" w:fill="8FAADC"/>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年限</w:t>
            </w:r>
          </w:p>
        </w:tc>
        <w:tc>
          <w:tcPr>
            <w:tcW w:w="323" w:type="pct"/>
            <w:tcBorders>
              <w:top w:val="single" w:color="000000" w:sz="8" w:space="0"/>
              <w:left w:val="single" w:color="000000" w:sz="8" w:space="0"/>
              <w:bottom w:val="single" w:color="000000" w:sz="8" w:space="0"/>
              <w:right w:val="single" w:color="000000" w:sz="8" w:space="0"/>
            </w:tcBorders>
            <w:shd w:val="clear" w:color="auto" w:fill="8FAADC"/>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数量</w:t>
            </w:r>
          </w:p>
        </w:tc>
      </w:tr>
      <w:tr>
        <w:tblPrEx>
          <w:tblCellMar>
            <w:top w:w="0" w:type="dxa"/>
            <w:left w:w="0" w:type="dxa"/>
            <w:bottom w:w="0" w:type="dxa"/>
            <w:right w:w="0" w:type="dxa"/>
          </w:tblCellMar>
        </w:tblPrEx>
        <w:trPr>
          <w:trHeight w:val="20" w:hRule="atLeast"/>
        </w:trPr>
        <w:tc>
          <w:tcPr>
            <w:tcW w:w="316"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1</w:t>
            </w:r>
          </w:p>
        </w:tc>
        <w:tc>
          <w:tcPr>
            <w:tcW w:w="53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冷水机组</w:t>
            </w:r>
          </w:p>
        </w:tc>
        <w:tc>
          <w:tcPr>
            <w:tcW w:w="282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螺杆机：2台，型号：YESEZEZS45CKE；制冷量：1519KW；</w:t>
            </w:r>
          </w:p>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离心机：1台，型号：YKGCEVP85EGR；制冷量：2461KW；</w:t>
            </w:r>
          </w:p>
        </w:tc>
        <w:tc>
          <w:tcPr>
            <w:tcW w:w="51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约克</w:t>
            </w:r>
          </w:p>
        </w:tc>
        <w:tc>
          <w:tcPr>
            <w:tcW w:w="492"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2017年7月</w:t>
            </w:r>
          </w:p>
        </w:tc>
        <w:tc>
          <w:tcPr>
            <w:tcW w:w="32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3</w:t>
            </w:r>
          </w:p>
        </w:tc>
      </w:tr>
      <w:tr>
        <w:tblPrEx>
          <w:tblCellMar>
            <w:top w:w="0" w:type="dxa"/>
            <w:left w:w="0" w:type="dxa"/>
            <w:bottom w:w="0" w:type="dxa"/>
            <w:right w:w="0" w:type="dxa"/>
          </w:tblCellMar>
        </w:tblPrEx>
        <w:trPr>
          <w:trHeight w:val="20" w:hRule="atLeast"/>
        </w:trPr>
        <w:tc>
          <w:tcPr>
            <w:tcW w:w="316"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2</w:t>
            </w:r>
          </w:p>
        </w:tc>
        <w:tc>
          <w:tcPr>
            <w:tcW w:w="53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冷却泵</w:t>
            </w:r>
          </w:p>
        </w:tc>
        <w:tc>
          <w:tcPr>
            <w:tcW w:w="282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2*55KW；3*37KW；</w:t>
            </w:r>
          </w:p>
        </w:tc>
        <w:tc>
          <w:tcPr>
            <w:tcW w:w="51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上海东方</w:t>
            </w:r>
          </w:p>
        </w:tc>
        <w:tc>
          <w:tcPr>
            <w:tcW w:w="492"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2017年</w:t>
            </w:r>
          </w:p>
        </w:tc>
        <w:tc>
          <w:tcPr>
            <w:tcW w:w="32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5</w:t>
            </w:r>
          </w:p>
        </w:tc>
      </w:tr>
      <w:tr>
        <w:tblPrEx>
          <w:tblCellMar>
            <w:top w:w="0" w:type="dxa"/>
            <w:left w:w="0" w:type="dxa"/>
            <w:bottom w:w="0" w:type="dxa"/>
            <w:right w:w="0" w:type="dxa"/>
          </w:tblCellMar>
        </w:tblPrEx>
        <w:trPr>
          <w:trHeight w:val="20" w:hRule="atLeast"/>
        </w:trPr>
        <w:tc>
          <w:tcPr>
            <w:tcW w:w="316"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3</w:t>
            </w:r>
          </w:p>
        </w:tc>
        <w:tc>
          <w:tcPr>
            <w:tcW w:w="53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冷冻泵</w:t>
            </w:r>
          </w:p>
        </w:tc>
        <w:tc>
          <w:tcPr>
            <w:tcW w:w="282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2*75KW；3*45KW；</w:t>
            </w:r>
          </w:p>
        </w:tc>
        <w:tc>
          <w:tcPr>
            <w:tcW w:w="51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上海东方</w:t>
            </w:r>
          </w:p>
        </w:tc>
        <w:tc>
          <w:tcPr>
            <w:tcW w:w="492"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2017年</w:t>
            </w:r>
          </w:p>
        </w:tc>
        <w:tc>
          <w:tcPr>
            <w:tcW w:w="32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5</w:t>
            </w:r>
          </w:p>
        </w:tc>
      </w:tr>
      <w:tr>
        <w:tblPrEx>
          <w:tblCellMar>
            <w:top w:w="0" w:type="dxa"/>
            <w:left w:w="0" w:type="dxa"/>
            <w:bottom w:w="0" w:type="dxa"/>
            <w:right w:w="0" w:type="dxa"/>
          </w:tblCellMar>
        </w:tblPrEx>
        <w:trPr>
          <w:trHeight w:val="20" w:hRule="atLeast"/>
        </w:trPr>
        <w:tc>
          <w:tcPr>
            <w:tcW w:w="316"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4</w:t>
            </w:r>
          </w:p>
        </w:tc>
        <w:tc>
          <w:tcPr>
            <w:tcW w:w="53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循环泵</w:t>
            </w:r>
          </w:p>
        </w:tc>
        <w:tc>
          <w:tcPr>
            <w:tcW w:w="282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2*55KW（热水循环泵）</w:t>
            </w:r>
          </w:p>
        </w:tc>
        <w:tc>
          <w:tcPr>
            <w:tcW w:w="51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上海东方</w:t>
            </w:r>
          </w:p>
        </w:tc>
        <w:tc>
          <w:tcPr>
            <w:tcW w:w="492"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2017年</w:t>
            </w:r>
          </w:p>
        </w:tc>
        <w:tc>
          <w:tcPr>
            <w:tcW w:w="32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2</w:t>
            </w:r>
          </w:p>
        </w:tc>
      </w:tr>
      <w:tr>
        <w:tblPrEx>
          <w:tblCellMar>
            <w:top w:w="0" w:type="dxa"/>
            <w:left w:w="0" w:type="dxa"/>
            <w:bottom w:w="0" w:type="dxa"/>
            <w:right w:w="0" w:type="dxa"/>
          </w:tblCellMar>
        </w:tblPrEx>
        <w:trPr>
          <w:trHeight w:val="20" w:hRule="atLeast"/>
        </w:trPr>
        <w:tc>
          <w:tcPr>
            <w:tcW w:w="316"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5</w:t>
            </w:r>
          </w:p>
        </w:tc>
        <w:tc>
          <w:tcPr>
            <w:tcW w:w="53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冷却塔</w:t>
            </w:r>
          </w:p>
        </w:tc>
        <w:tc>
          <w:tcPr>
            <w:tcW w:w="282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480"/>
              <w:jc w:val="center"/>
              <w:rPr>
                <w:rFonts w:hint="eastAsia" w:ascii="宋体" w:hAnsi="宋体" w:cs="宋体"/>
                <w:sz w:val="24"/>
                <w:szCs w:val="24"/>
              </w:rPr>
            </w:pPr>
          </w:p>
        </w:tc>
        <w:tc>
          <w:tcPr>
            <w:tcW w:w="51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480"/>
              <w:jc w:val="center"/>
              <w:rPr>
                <w:rFonts w:hint="eastAsia" w:ascii="宋体" w:hAnsi="宋体" w:cs="宋体"/>
                <w:sz w:val="24"/>
                <w:szCs w:val="24"/>
              </w:rPr>
            </w:pPr>
          </w:p>
        </w:tc>
        <w:tc>
          <w:tcPr>
            <w:tcW w:w="492"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2017年</w:t>
            </w:r>
          </w:p>
        </w:tc>
        <w:tc>
          <w:tcPr>
            <w:tcW w:w="323" w:type="pct"/>
            <w:tcBorders>
              <w:top w:val="single" w:color="000000" w:sz="8" w:space="0"/>
              <w:left w:val="single" w:color="000000" w:sz="8" w:space="0"/>
              <w:bottom w:val="single" w:color="000000" w:sz="8" w:space="0"/>
              <w:right w:val="single" w:color="000000" w:sz="8" w:space="0"/>
            </w:tcBorders>
            <w:noWrap w:val="0"/>
            <w:tcMar>
              <w:top w:w="10" w:type="dxa"/>
              <w:left w:w="10" w:type="dxa"/>
              <w:bottom w:w="0" w:type="dxa"/>
              <w:right w:w="10" w:type="dxa"/>
            </w:tcMar>
            <w:vAlign w:val="center"/>
          </w:tcPr>
          <w:p>
            <w:pPr>
              <w:pStyle w:val="5"/>
              <w:snapToGrid w:val="0"/>
              <w:spacing w:line="360" w:lineRule="auto"/>
              <w:ind w:firstLine="0" w:firstLineChars="0"/>
              <w:jc w:val="center"/>
              <w:rPr>
                <w:rFonts w:hint="eastAsia" w:ascii="宋体" w:hAnsi="宋体" w:cs="宋体"/>
                <w:sz w:val="24"/>
                <w:szCs w:val="24"/>
              </w:rPr>
            </w:pPr>
            <w:r>
              <w:rPr>
                <w:rFonts w:hint="eastAsia" w:ascii="宋体" w:hAnsi="宋体" w:cs="宋体"/>
                <w:sz w:val="24"/>
                <w:szCs w:val="24"/>
              </w:rPr>
              <w:t>2</w:t>
            </w:r>
          </w:p>
        </w:tc>
      </w:tr>
    </w:tbl>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应在建设期内完成总务楼的中央空调智慧管理系统建设，实现空调冷媒流量（冷冻水、冷却水）跟随负荷的变化而变流量运行；主机运行效率优化，确保主机在任何负荷条件下，都保持较高的热转换效率（COP）；实现系统的运行信息综合和数据共享，确保中央空调主机、冷冻水系统、冷却水系统和冷却塔风机等全系统协调运行和综合性能优化。</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（2）气候补偿</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目前医院共有蒸汽锅炉2台，锅炉型号WNS4-1.25-QY，额定蒸发量4t/h。</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结合锅炉现状及中央空调节能优化技术实现锅炉气候补偿。</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供应商需针对中央空调智慧管理系统建设进行详细方案设计，包含且不限于节能改造方案、节能改造经济性分析、设备清单、时间进度计划等内容，以确保方案的可行性。</w:t>
      </w: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电梯节能改造</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目前医院共有高层电梯6部，品牌东芝，曳引机功率17.5Kw，结合电梯运营情况进行节能改造优化。</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供应商需针对电梯节能改造进行详细方案设计，包含且不限于节能改造方案、节能改造经济性分析、设备清单、时间进度计划等内容，以确保方案的可行性。</w:t>
      </w: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空调末端控制改造</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目前医院采用机械式末端控制面板进行就地控制。对行政办公区域（医技楼4-7楼）空调末端进行控制改造，达到节能降耗的目的。</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供应商需针对空调末端控制改造进行详细方案设计，包含且不限于节能改造方案、节能改造经济性分析、设备清单、时间进度计划等内容，以确保方案的可行性。</w:t>
      </w: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电开水器智能控制改造</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目前医院主要通过电开水器供应开水和生活热水，共计约25台。针对电开水器进行智能控制。</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供应商需针对电开水器智能控制改造进行详细方案设计，包含且不限于节能改造方案、节能改造经济性分析、设备清单、时间进度计划等内容，以确保方案的可行性。</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医院现有外科楼楼建筑为电制冷（冷水）机组中央空调作为外科楼冷源主机设备，因是冷水机组，中央空调系统配置了相应的冷冻水泵作为供冷系统循环交换启用，现场水泵无变频，且未考虑空调系统整体性能，无法根据中央空调主机出回水温度进行自适应协调控制，存在能量浪费情况。</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供应商应在建设期内完成医院住院楼和医养中心楼中央空调水泵变频改造，加装水泵变频系统，设置主机出回水温传感器等传感设备，实现泵组的变流量控制等，避免能量浪费，实现节能降耗。</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供应商需针对医院外科楼中央空调冷冻水泵变频改造建设进行方案说明，包含且不限于变频系统基础功能、配置清单等内容，以确保方案的可行性。</w:t>
      </w: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bookmarkStart w:id="24" w:name="_Hlk87516256"/>
      <w:r>
        <w:rPr>
          <w:rFonts w:hint="eastAsia" w:ascii="宋体" w:hAnsi="宋体" w:cs="宋体"/>
          <w:b/>
          <w:bCs/>
          <w:sz w:val="24"/>
          <w:szCs w:val="24"/>
        </w:rPr>
        <w:t>医院智慧运营管理平台</w:t>
      </w:r>
      <w:bookmarkEnd w:id="24"/>
      <w:r>
        <w:rPr>
          <w:rFonts w:hint="eastAsia" w:ascii="宋体" w:hAnsi="宋体" w:cs="宋体"/>
          <w:b/>
          <w:bCs/>
          <w:sz w:val="24"/>
          <w:szCs w:val="24"/>
        </w:rPr>
        <w:t>部署</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供应商应在建设期内完成医院智慧运营管理平台部署，建设一站式服务中心，实现医院运营的统一入口、统一管理、一站式调度，平台功能要求：</w:t>
      </w:r>
    </w:p>
    <w:p>
      <w:pPr>
        <w:pStyle w:val="5"/>
        <w:numPr>
          <w:ilvl w:val="0"/>
          <w:numId w:val="6"/>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支持提供各类的角色用户的定义，为不同角色用户开启不同的权限。可配置多个角色，可根据多种权限维度划分，如系统管理员、某一区域的管理员或某一类设备的管理员等。</w:t>
      </w:r>
    </w:p>
    <w:p>
      <w:pPr>
        <w:pStyle w:val="5"/>
        <w:numPr>
          <w:ilvl w:val="0"/>
          <w:numId w:val="6"/>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提供多维度的分权分域管理。提供模块页面、数据区域和操作类型的三维权限管理，以形成对信息的分割和保护，确保安全高效；</w:t>
      </w:r>
    </w:p>
    <w:p>
      <w:pPr>
        <w:pStyle w:val="5"/>
        <w:numPr>
          <w:ilvl w:val="0"/>
          <w:numId w:val="6"/>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提供对报表模板的增删改查等管理功能；</w:t>
      </w:r>
    </w:p>
    <w:p>
      <w:pPr>
        <w:pStyle w:val="5"/>
        <w:numPr>
          <w:ilvl w:val="0"/>
          <w:numId w:val="6"/>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支持报表的在线手动生成及自动生成；</w:t>
      </w:r>
    </w:p>
    <w:p>
      <w:pPr>
        <w:pStyle w:val="5"/>
        <w:numPr>
          <w:ilvl w:val="0"/>
          <w:numId w:val="6"/>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提供对报表文件的增删改查等管理功能；</w:t>
      </w:r>
    </w:p>
    <w:p>
      <w:pPr>
        <w:pStyle w:val="5"/>
        <w:numPr>
          <w:ilvl w:val="0"/>
          <w:numId w:val="6"/>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提供报表推送服务；</w:t>
      </w:r>
    </w:p>
    <w:p>
      <w:pPr>
        <w:pStyle w:val="5"/>
        <w:numPr>
          <w:ilvl w:val="0"/>
          <w:numId w:val="6"/>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提供不同频率的数据采样服务以适用不同场景；</w:t>
      </w:r>
    </w:p>
    <w:p>
      <w:pPr>
        <w:pStyle w:val="5"/>
        <w:numPr>
          <w:ilvl w:val="0"/>
          <w:numId w:val="6"/>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提供对数据的选择、校验、标识等处理功能；</w:t>
      </w:r>
    </w:p>
    <w:p>
      <w:pPr>
        <w:pStyle w:val="5"/>
        <w:numPr>
          <w:ilvl w:val="0"/>
          <w:numId w:val="6"/>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提供系统日志生成、储存、查询、统计管理。记录系统中重大运行事件、异常问题，便于诊断和定位；</w:t>
      </w:r>
    </w:p>
    <w:p>
      <w:pPr>
        <w:pStyle w:val="5"/>
        <w:numPr>
          <w:ilvl w:val="0"/>
          <w:numId w:val="6"/>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支持BI分析，能将将后勤信息化平台中现有的数据进行有效的整合，快速准确的提供报表和分析图标，帮助领导进行经营决策和日常管理；</w:t>
      </w:r>
    </w:p>
    <w:p>
      <w:pPr>
        <w:pStyle w:val="5"/>
        <w:numPr>
          <w:ilvl w:val="0"/>
          <w:numId w:val="6"/>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BI分析包含：能耗分析、成本分析、对标分析、工单分析、报修分析、设备分析、和满意度分析等功能。</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供应商需针对医院智慧运营管理平台建设进行方案说明，包含且不限于平台基础功能、平台系统对接、一站式服务中心配置清单等内容，以确保方案的可行性。</w:t>
      </w:r>
    </w:p>
    <w:p>
      <w:pPr>
        <w:pStyle w:val="5"/>
        <w:adjustRightInd w:val="0"/>
        <w:spacing w:line="400" w:lineRule="exact"/>
        <w:ind w:firstLine="480"/>
        <w:textAlignment w:val="baseline"/>
        <w:rPr>
          <w:rFonts w:hint="eastAsia" w:ascii="宋体" w:hAnsi="宋体" w:cs="宋体"/>
          <w:sz w:val="24"/>
          <w:szCs w:val="24"/>
        </w:rPr>
      </w:pP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能源管理系统建设</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投标应在第一个托管周期内完成能源管理系统建设，实现各楼栋总用电、总用水和外科楼、内科楼、医技楼、综合楼的楼层用电计量，锅炉房的天然气用量，用电监测点位不少于210个，用水监测点位1个，天然气人工录入点位不少于1个。通过全面的能耗采集，来分析医院能耗现在状况，发现医院实际运营中存在的各类用能问题，实现能源精细化管理。同时为达到今后后勤综合管理目的，该系统还应能继续开发并与其他第三方系统开放接口。</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 xml:space="preserve">能源管理系统建设功能要求： </w:t>
      </w:r>
    </w:p>
    <w:p>
      <w:pPr>
        <w:pStyle w:val="5"/>
        <w:numPr>
          <w:ilvl w:val="0"/>
          <w:numId w:val="7"/>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支持展示当日用电趋势、本月能耗总览（同比、环比）、能源占比、电能耗评价（同期相比）、关键KPI概览、今日告警总览信息、当日天气信息；</w:t>
      </w:r>
    </w:p>
    <w:p>
      <w:pPr>
        <w:pStyle w:val="5"/>
        <w:numPr>
          <w:ilvl w:val="0"/>
          <w:numId w:val="7"/>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支持提供两个维度的能耗分析模型，科室维度和区域维度；</w:t>
      </w:r>
    </w:p>
    <w:p>
      <w:pPr>
        <w:pStyle w:val="5"/>
        <w:numPr>
          <w:ilvl w:val="0"/>
          <w:numId w:val="7"/>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支持对能耗模型内任意节点的能耗分析；</w:t>
      </w:r>
    </w:p>
    <w:p>
      <w:pPr>
        <w:pStyle w:val="5"/>
        <w:numPr>
          <w:ilvl w:val="0"/>
          <w:numId w:val="7"/>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支持提供对能耗模型内多个节点单个时间段或者单个节点多个时间端的能耗对比；</w:t>
      </w:r>
    </w:p>
    <w:p>
      <w:pPr>
        <w:pStyle w:val="5"/>
        <w:numPr>
          <w:ilvl w:val="0"/>
          <w:numId w:val="7"/>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支持对能源消耗的定额管理；</w:t>
      </w:r>
    </w:p>
    <w:p>
      <w:pPr>
        <w:pStyle w:val="5"/>
        <w:numPr>
          <w:ilvl w:val="0"/>
          <w:numId w:val="7"/>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支持对经营性能耗KPI的管理，包括单位床日能耗、单位门诊量能耗、万元GDP能耗、单位业务量能耗、单位建筑面积能耗、单位空调面积能耗等；</w:t>
      </w:r>
    </w:p>
    <w:p>
      <w:pPr>
        <w:pStyle w:val="5"/>
        <w:numPr>
          <w:ilvl w:val="0"/>
          <w:numId w:val="7"/>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支持对中央空调等大型耗能设备的的楼层计量和能效分析等。</w:t>
      </w:r>
    </w:p>
    <w:p>
      <w:pPr>
        <w:pStyle w:val="5"/>
        <w:adjustRightInd w:val="0"/>
        <w:spacing w:line="400" w:lineRule="exact"/>
        <w:ind w:left="480" w:firstLine="0" w:firstLineChars="0"/>
        <w:textAlignment w:val="baseline"/>
        <w:rPr>
          <w:rFonts w:hint="eastAsia" w:ascii="宋体" w:hAnsi="宋体" w:cs="宋体"/>
          <w:iCs/>
          <w:sz w:val="24"/>
          <w:szCs w:val="24"/>
        </w:rPr>
      </w:pPr>
      <w:r>
        <w:rPr>
          <w:rFonts w:hint="eastAsia" w:ascii="宋体" w:hAnsi="宋体" w:cs="宋体"/>
          <w:iCs/>
          <w:sz w:val="24"/>
          <w:szCs w:val="24"/>
        </w:rPr>
        <w:t>供应商需针对能源管理系统进行方案说明，包含且不限于系统功能详细设计、点位设计、设备清单、时间进度计划等内容，以确保方案的可行性。</w:t>
      </w:r>
    </w:p>
    <w:p>
      <w:pPr>
        <w:pStyle w:val="5"/>
        <w:adjustRightInd w:val="0"/>
        <w:spacing w:line="400" w:lineRule="exact"/>
        <w:ind w:firstLine="480"/>
        <w:textAlignment w:val="baseline"/>
        <w:rPr>
          <w:rFonts w:hint="eastAsia" w:ascii="宋体" w:hAnsi="宋体" w:cs="宋体"/>
          <w:sz w:val="24"/>
          <w:szCs w:val="24"/>
        </w:rPr>
      </w:pP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综合监控系统建设</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投标应在第一个托管周期内完成综合监控系统建设，实现对医院不同的机电设备包括变配电、暖通空调、给排水、锅炉、环境等信息进行实时的监测并自动告警、排除隐患、规避安全风险，对环境监测包含但不限于以下要求：加装摄像头不少于15个，温湿度传感器不少于10个，水浸传感器不少于9个。</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综合监控系统功能要求：</w:t>
      </w:r>
    </w:p>
    <w:p>
      <w:pPr>
        <w:pStyle w:val="5"/>
        <w:numPr>
          <w:ilvl w:val="0"/>
          <w:numId w:val="8"/>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支持对变配电系统安全运行的监测和对电能质量的监测和分析；</w:t>
      </w:r>
    </w:p>
    <w:p>
      <w:pPr>
        <w:pStyle w:val="5"/>
        <w:numPr>
          <w:ilvl w:val="0"/>
          <w:numId w:val="8"/>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支持远程集中监测暖通空调系统及设备状态；</w:t>
      </w:r>
    </w:p>
    <w:p>
      <w:pPr>
        <w:pStyle w:val="5"/>
        <w:numPr>
          <w:ilvl w:val="0"/>
          <w:numId w:val="8"/>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支持远程集中监测给排水系统及设备状态；</w:t>
      </w:r>
    </w:p>
    <w:p>
      <w:pPr>
        <w:pStyle w:val="5"/>
        <w:numPr>
          <w:ilvl w:val="0"/>
          <w:numId w:val="8"/>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支持对其他重点设备远程集中运行监视和相关设备状态监测；</w:t>
      </w:r>
    </w:p>
    <w:p>
      <w:pPr>
        <w:pStyle w:val="5"/>
        <w:numPr>
          <w:ilvl w:val="0"/>
          <w:numId w:val="8"/>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支持在系统运行过程中，当某个设备对象发生告警信息时，实时监控图表上对应图元将进行告警提示（图元动态闪烁），管理运维人员点击有告警的图元对象，可以对告警对象进行操作；</w:t>
      </w:r>
    </w:p>
    <w:p>
      <w:pPr>
        <w:pStyle w:val="5"/>
        <w:numPr>
          <w:ilvl w:val="0"/>
          <w:numId w:val="8"/>
        </w:numPr>
        <w:adjustRightInd w:val="0"/>
        <w:spacing w:line="400" w:lineRule="exact"/>
        <w:ind w:firstLineChars="0"/>
        <w:textAlignment w:val="baseline"/>
        <w:rPr>
          <w:rFonts w:hint="eastAsia" w:ascii="宋体" w:hAnsi="宋体" w:cs="宋体"/>
          <w:sz w:val="24"/>
          <w:szCs w:val="24"/>
        </w:rPr>
      </w:pPr>
      <w:r>
        <w:rPr>
          <w:rFonts w:hint="eastAsia" w:ascii="宋体" w:hAnsi="宋体" w:cs="宋体"/>
          <w:iCs/>
          <w:sz w:val="24"/>
          <w:szCs w:val="24"/>
        </w:rPr>
        <w:t>支持对当前对象的告警条目展示，提供告警信息展示，提供告警处理、确认的操作</w:t>
      </w:r>
      <w:r>
        <w:rPr>
          <w:rFonts w:hint="eastAsia" w:ascii="宋体" w:hAnsi="宋体" w:cs="宋体"/>
          <w:sz w:val="24"/>
          <w:szCs w:val="24"/>
        </w:rPr>
        <w:t>。</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供应商需针对综合监控系统进行方案说明，包含且不限于系统功能详细设计、点位设计、设备清单、时间进度计划等内容，以确保方案的可行性。</w:t>
      </w: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设备管理系统建设</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投标应在建设期内完成设备管理系统建设，以设备台账为基础，以工单为主线，以提高维修效率、降低总体维护成本为目标，实现对设备全生命周期管理，支持设备管理的持续优化。</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设备管理系统功能要求：</w:t>
      </w:r>
    </w:p>
    <w:p>
      <w:pPr>
        <w:pStyle w:val="5"/>
        <w:numPr>
          <w:ilvl w:val="0"/>
          <w:numId w:val="9"/>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拥有一套设备编码标准体系，建立医院暖通/空调、供配电、给排水等设备的标准编码，形成设备管理台账，实现对设备的二维码管理；</w:t>
      </w:r>
    </w:p>
    <w:p>
      <w:pPr>
        <w:pStyle w:val="5"/>
        <w:numPr>
          <w:ilvl w:val="0"/>
          <w:numId w:val="9"/>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根据使用人员的不同，展示不同的内容，区分管理人员与业务执行人员；</w:t>
      </w:r>
    </w:p>
    <w:p>
      <w:pPr>
        <w:pStyle w:val="5"/>
        <w:numPr>
          <w:ilvl w:val="0"/>
          <w:numId w:val="9"/>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sz w:val="24"/>
          <w:szCs w:val="24"/>
        </w:rPr>
        <w:t>▲</w:t>
      </w:r>
      <w:r>
        <w:rPr>
          <w:rFonts w:hint="eastAsia" w:ascii="宋体" w:hAnsi="宋体" w:cs="宋体"/>
          <w:iCs/>
          <w:sz w:val="24"/>
          <w:szCs w:val="24"/>
        </w:rPr>
        <w:t>提供故障报修，自动派单，工单处理，工单验收，工单评价、工单查询分析等功能；</w:t>
      </w:r>
    </w:p>
    <w:p>
      <w:pPr>
        <w:pStyle w:val="5"/>
        <w:numPr>
          <w:ilvl w:val="0"/>
          <w:numId w:val="9"/>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单与设备监控集成，支持根据设备告警等级的配置，自动生成工单，并分派人员处理；</w:t>
      </w:r>
    </w:p>
    <w:p>
      <w:pPr>
        <w:pStyle w:val="5"/>
        <w:numPr>
          <w:ilvl w:val="0"/>
          <w:numId w:val="9"/>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可以对运维人员进行排班，支持运维人员查询各自的排班情况；</w:t>
      </w:r>
    </w:p>
    <w:p>
      <w:pPr>
        <w:pStyle w:val="5"/>
        <w:numPr>
          <w:ilvl w:val="0"/>
          <w:numId w:val="9"/>
        </w:numPr>
        <w:adjustRightInd w:val="0"/>
        <w:spacing w:line="400" w:lineRule="exact"/>
        <w:ind w:firstLineChars="0"/>
        <w:textAlignment w:val="baseline"/>
        <w:rPr>
          <w:rFonts w:hint="eastAsia" w:ascii="宋体" w:hAnsi="宋体" w:cs="宋体"/>
          <w:iCs/>
          <w:sz w:val="24"/>
          <w:szCs w:val="24"/>
        </w:rPr>
      </w:pPr>
      <w:r>
        <w:rPr>
          <w:rFonts w:hint="eastAsia" w:ascii="宋体" w:hAnsi="宋体" w:cs="宋体"/>
          <w:iCs/>
          <w:sz w:val="24"/>
          <w:szCs w:val="24"/>
        </w:rPr>
        <w:t>应提供数据统计分析和自动报表功能，实现对人员绩效工时、工单任务统计、工单费用统计、工单满意度、多方面的统计分析和自动报表。</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投标需针对设备管理系统建设进行方案说明，包含且不限于系统功能详细设计、流程设计、时间进度计划等内容，以确保方案的可行性。</w:t>
      </w:r>
    </w:p>
    <w:p>
      <w:pPr>
        <w:pStyle w:val="5"/>
        <w:adjustRightInd w:val="0"/>
        <w:spacing w:line="400" w:lineRule="exact"/>
        <w:ind w:firstLine="480"/>
        <w:textAlignment w:val="baseline"/>
        <w:rPr>
          <w:rFonts w:hint="eastAsia" w:ascii="宋体" w:hAnsi="宋体" w:cs="宋体"/>
          <w:sz w:val="24"/>
          <w:szCs w:val="24"/>
        </w:rPr>
      </w:pP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能源经理服务</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供应商应提供能源经理服务，托管期内安排专业能源经理对医院现场用能情况进行研究分析，服务期限为整个托管期，其主要工作内容是依托能源管理系统帮助医院掌握系统使用，提升能源管理水平。</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具体包括以下四方面的内容：</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一是能效考核落实。基于能源管理系统，检查医院时段内的用能数据和用能趋势，判断设备运行是否合理，查找能耗管理漏洞；另外对能耗数据进行分析，每次咨询服务后将输出能耗报告，对医院设备的节能改造和维护更换决策提供数据支撑。</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二是优化设备运行策略。通过对时段内用能数据和用能趋势的分析，捕捉医院不合理的设备运行方式，进一步提出优化的运行策略，并将优化后的策略固定下来，指导医院运维人员日常对设备的操作。</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三是制定用能规范。对医院后勤管理层和执行层进行系统使用培训，提升后勤管理水平和人员业务效率。并对医院现有的用能管理流程和规章制度进行梳理，基于相关行业要求和综合能源服务公司的项目经验进行完善。此外，建立能耗考核机制，确定每年的能耗使用基准。</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四是规范用能习惯。用能咨询服务人员的工作重心在医院的用能管理水平提升，协助医院做好日常节能宣传工作。</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供应商需针对能源经理服务进行方案说明，包含且不限于服务工作内容和工作职责、拟投入的人员名单等内容，以确保方案的可行性。</w:t>
      </w: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托管期间运营服务</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托管期间供应商应根据医院需求对医院后勤运营进行针对性指标建设服务，主要包含医院智慧运营管理平台对医院后勤领域的各类数据进行梳理，并按照统一编码的原则进行归纳、排列和组合，建立医院后勤领域数据模型，通过模型将各类数据汇聚拉通形成合力，充分挖掘数据潜在价值。</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针对宜都市人民医院未来后勤管理一院多区的情况，需从人员、财务、资产、安全、服务、质量六个主维度的相关领域按照不同的条件，计算相应的分析指标，并进行数据挖掘，通过数据变化规律指导后勤领域工作，满足后勤管理数据统计和分析，提高后勤管理效率。</w:t>
      </w:r>
    </w:p>
    <w:p>
      <w:pPr>
        <w:pStyle w:val="5"/>
        <w:adjustRightInd w:val="0"/>
        <w:spacing w:line="400" w:lineRule="exact"/>
        <w:ind w:firstLine="480"/>
        <w:textAlignment w:val="baseline"/>
        <w:rPr>
          <w:rFonts w:hint="eastAsia" w:ascii="宋体" w:hAnsi="宋体" w:cs="宋体"/>
          <w:sz w:val="24"/>
          <w:szCs w:val="24"/>
        </w:rPr>
      </w:pPr>
    </w:p>
    <w:p>
      <w:pPr>
        <w:pStyle w:val="5"/>
        <w:keepNext/>
        <w:keepLines/>
        <w:numPr>
          <w:ilvl w:val="2"/>
          <w:numId w:val="2"/>
        </w:numPr>
        <w:spacing w:before="100" w:beforeAutospacing="1" w:after="240" w:afterLines="100"/>
        <w:ind w:firstLine="480"/>
        <w:outlineLvl w:val="2"/>
        <w:rPr>
          <w:rFonts w:hint="eastAsia" w:ascii="宋体" w:hAnsi="宋体" w:cs="宋体"/>
          <w:bCs/>
          <w:sz w:val="24"/>
          <w:szCs w:val="24"/>
        </w:rPr>
      </w:pPr>
      <w:bookmarkStart w:id="25" w:name="_Toc124331571"/>
      <w:r>
        <w:rPr>
          <w:rFonts w:hint="eastAsia" w:ascii="宋体" w:hAnsi="宋体" w:cs="宋体"/>
          <w:bCs/>
          <w:sz w:val="24"/>
          <w:szCs w:val="24"/>
        </w:rPr>
        <w:t>项目运营服务要求</w:t>
      </w:r>
      <w:bookmarkEnd w:id="25"/>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运营要求</w:t>
      </w:r>
    </w:p>
    <w:p>
      <w:pPr>
        <w:pStyle w:val="5"/>
        <w:numPr>
          <w:ilvl w:val="0"/>
          <w:numId w:val="10"/>
        </w:numPr>
        <w:spacing w:line="360" w:lineRule="auto"/>
        <w:ind w:firstLine="480"/>
        <w:rPr>
          <w:rFonts w:hint="eastAsia" w:ascii="宋体" w:hAnsi="宋体" w:cs="宋体"/>
          <w:sz w:val="24"/>
          <w:szCs w:val="24"/>
        </w:rPr>
      </w:pPr>
      <w:r>
        <w:rPr>
          <w:rFonts w:hint="eastAsia" w:ascii="宋体" w:hAnsi="宋体" w:cs="宋体"/>
          <w:sz w:val="24"/>
          <w:szCs w:val="24"/>
        </w:rPr>
        <w:t>空调冷热水供应要求（详见“</w:t>
      </w:r>
      <w:r>
        <w:rPr>
          <w:rFonts w:hint="eastAsia" w:ascii="宋体" w:hAnsi="宋体" w:cs="宋体"/>
          <w:sz w:val="24"/>
          <w:szCs w:val="24"/>
        </w:rPr>
        <w:fldChar w:fldCharType="begin"/>
      </w:r>
      <w:r>
        <w:rPr>
          <w:rFonts w:hint="eastAsia" w:ascii="宋体" w:hAnsi="宋体" w:cs="宋体"/>
          <w:sz w:val="24"/>
          <w:szCs w:val="24"/>
        </w:rPr>
        <w:instrText xml:space="preserve"> REF _Ref87547104 \r \h  \* MERGEFORMAT </w:instrText>
      </w:r>
      <w:r>
        <w:rPr>
          <w:rFonts w:hint="eastAsia" w:ascii="宋体" w:hAnsi="宋体" w:cs="宋体"/>
          <w:sz w:val="24"/>
          <w:szCs w:val="24"/>
        </w:rPr>
        <w:fldChar w:fldCharType="separate"/>
      </w:r>
      <w:r>
        <w:rPr>
          <w:rFonts w:ascii="宋体" w:hAnsi="宋体" w:cs="宋体"/>
          <w:sz w:val="24"/>
          <w:szCs w:val="24"/>
        </w:rPr>
        <w:t>1.3.2</w:t>
      </w:r>
      <w:r>
        <w:rPr>
          <w:rFonts w:hint="eastAsia" w:ascii="宋体" w:hAnsi="宋体" w:cs="宋体"/>
          <w:sz w:val="24"/>
          <w:szCs w:val="24"/>
        </w:rPr>
        <w:fldChar w:fldCharType="end"/>
      </w:r>
      <w:r>
        <w:rPr>
          <w:rFonts w:hint="eastAsia" w:ascii="宋体" w:hAnsi="宋体" w:cs="宋体"/>
          <w:sz w:val="24"/>
          <w:szCs w:val="24"/>
        </w:rPr>
        <w:fldChar w:fldCharType="begin"/>
      </w:r>
      <w:r>
        <w:rPr>
          <w:rFonts w:hint="eastAsia" w:ascii="宋体" w:hAnsi="宋体" w:cs="宋体"/>
          <w:sz w:val="24"/>
          <w:szCs w:val="24"/>
        </w:rPr>
        <w:instrText xml:space="preserve"> REF _Ref87547104 \h  \* MERGEFORMAT </w:instrText>
      </w:r>
      <w:r>
        <w:rPr>
          <w:rFonts w:hint="eastAsia" w:ascii="宋体" w:hAnsi="宋体" w:cs="宋体"/>
          <w:sz w:val="24"/>
          <w:szCs w:val="24"/>
        </w:rPr>
        <w:fldChar w:fldCharType="separate"/>
      </w:r>
      <w:r>
        <w:rPr>
          <w:rFonts w:hint="eastAsia" w:ascii="宋体" w:hAnsi="宋体" w:cs="宋体"/>
          <w:sz w:val="24"/>
          <w:szCs w:val="24"/>
        </w:rPr>
        <w:t>能源供应与服务要求</w:t>
      </w:r>
      <w:r>
        <w:rPr>
          <w:rFonts w:hint="eastAsia" w:ascii="宋体" w:hAnsi="宋体" w:cs="宋体"/>
          <w:sz w:val="24"/>
          <w:szCs w:val="24"/>
        </w:rPr>
        <w:fldChar w:fldCharType="end"/>
      </w:r>
      <w:r>
        <w:rPr>
          <w:rFonts w:hint="eastAsia" w:ascii="宋体" w:hAnsi="宋体" w:cs="宋体"/>
          <w:sz w:val="24"/>
          <w:szCs w:val="24"/>
        </w:rPr>
        <w:t>”）：</w:t>
      </w:r>
      <w:r>
        <w:rPr>
          <w:rFonts w:hint="eastAsia" w:ascii="宋体" w:hAnsi="宋体" w:cs="宋体"/>
          <w:iCs/>
          <w:sz w:val="24"/>
          <w:szCs w:val="24"/>
        </w:rPr>
        <w:t>合同期内，供应商应制定完备的中央空调的运行管理章程，保证医院日常运行需求。除不可抗力因素，供应商需保证24小时不间断供能。</w:t>
      </w:r>
    </w:p>
    <w:p>
      <w:pPr>
        <w:pStyle w:val="5"/>
        <w:numPr>
          <w:ilvl w:val="0"/>
          <w:numId w:val="10"/>
        </w:numPr>
        <w:spacing w:line="360" w:lineRule="auto"/>
        <w:ind w:firstLine="480"/>
        <w:rPr>
          <w:rFonts w:hint="eastAsia" w:ascii="宋体" w:hAnsi="宋体" w:cs="宋体"/>
          <w:sz w:val="24"/>
          <w:szCs w:val="24"/>
        </w:rPr>
      </w:pPr>
      <w:r>
        <w:rPr>
          <w:rFonts w:hint="eastAsia" w:ascii="宋体" w:hAnsi="宋体" w:cs="宋体"/>
          <w:sz w:val="24"/>
          <w:szCs w:val="24"/>
        </w:rPr>
        <w:t>托管期内所有供应商服务范围内相关的</w:t>
      </w:r>
      <w:r>
        <w:rPr>
          <w:rFonts w:hint="eastAsia" w:ascii="宋体" w:hAnsi="宋体" w:cs="宋体"/>
          <w:iCs/>
          <w:sz w:val="24"/>
          <w:szCs w:val="24"/>
        </w:rPr>
        <w:t>维保人工费、差旅费、维保工具等费用全部由供应商承担</w:t>
      </w:r>
      <w:r>
        <w:rPr>
          <w:rFonts w:hint="eastAsia" w:ascii="宋体" w:hAnsi="宋体" w:cs="宋体"/>
          <w:sz w:val="24"/>
          <w:szCs w:val="24"/>
        </w:rPr>
        <w:t>。</w:t>
      </w:r>
      <w:r>
        <w:rPr>
          <w:rFonts w:hint="eastAsia" w:ascii="宋体" w:hAnsi="宋体" w:cs="宋体"/>
          <w:iCs/>
          <w:sz w:val="24"/>
          <w:szCs w:val="24"/>
        </w:rPr>
        <w:t>医院既有设备的维修保养配件材料、原厂维修费用由采购人提供；由供应商新增设备的维修保养配件材料、原厂维修费用由供应商承担</w:t>
      </w:r>
      <w:r>
        <w:rPr>
          <w:rFonts w:hint="eastAsia" w:ascii="宋体" w:hAnsi="宋体" w:cs="宋体"/>
          <w:sz w:val="24"/>
          <w:szCs w:val="24"/>
        </w:rPr>
        <w:t>。</w:t>
      </w:r>
    </w:p>
    <w:p>
      <w:pPr>
        <w:pStyle w:val="5"/>
        <w:numPr>
          <w:ilvl w:val="0"/>
          <w:numId w:val="10"/>
        </w:numPr>
        <w:spacing w:line="360" w:lineRule="auto"/>
        <w:ind w:firstLine="480"/>
        <w:rPr>
          <w:rFonts w:hint="eastAsia" w:ascii="宋体" w:hAnsi="宋体" w:cs="宋体"/>
          <w:sz w:val="24"/>
          <w:szCs w:val="24"/>
        </w:rPr>
      </w:pPr>
      <w:r>
        <w:rPr>
          <w:rFonts w:hint="eastAsia" w:ascii="宋体" w:hAnsi="宋体" w:cs="宋体"/>
          <w:sz w:val="24"/>
          <w:szCs w:val="24"/>
        </w:rPr>
        <w:t>采购人与供应商安排的运营人员之间不具有《劳动法》、《劳动合同法》规定的劳动关系。供应商要按国家、省、市用工规范为运营人员办理意外伤害险及其他各项社会保险，费用均由供应商承担。如因供应商未按《劳动法》、《劳动合同法》及按时发放用工符合国家规定的工资等，而引起的一切法律责任与经济责任，均由供应商承担，与采购人无关。</w:t>
      </w:r>
    </w:p>
    <w:p>
      <w:pPr>
        <w:pStyle w:val="5"/>
        <w:numPr>
          <w:ilvl w:val="0"/>
          <w:numId w:val="10"/>
        </w:numPr>
        <w:spacing w:line="360" w:lineRule="auto"/>
        <w:ind w:firstLine="480"/>
        <w:rPr>
          <w:rFonts w:hint="eastAsia" w:ascii="宋体" w:hAnsi="宋体" w:cs="宋体"/>
          <w:sz w:val="24"/>
          <w:szCs w:val="24"/>
        </w:rPr>
      </w:pPr>
      <w:r>
        <w:rPr>
          <w:rFonts w:hint="eastAsia" w:ascii="宋体" w:hAnsi="宋体" w:cs="宋体"/>
          <w:sz w:val="24"/>
          <w:szCs w:val="24"/>
        </w:rPr>
        <w:t>托管期发生事故抢修或者使用应急方式供能，需额外给付第三方费用，由采购人单独支付，不含在托管费用内。</w:t>
      </w: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风险管理</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实际运行过程中，风险随时可能出现，供应商应根据项目实际情况加强风险管理，做好风险的识别，风险的量化分析，制定风险的应对预案。供应商应当确保其工作人员和其聘请的第三方严格遵守采购人有关施工场地安全和卫生等方面的规定，并听从采购人合理的现场指挥。</w:t>
      </w: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服务质量</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供应商应建立严格的质量保证体系，制定项目服务质量控制方案和实施措施，并督促落实各环节质量控制内容和目标，确保安装和调试相关设备、设施应符合国家、行业有关施工管理法律法规和与项目相对应的技术标准规范要求，以及采购方合理的特有的施工、管理、质量要求。满足采购人对质量的要求。供应商应根据整个项目周期的工作计划，对阶段性工作成果进行审查和测试，并向项目单位提交阶段性工作成果。通过保证各阶段性成果的质量，最终保证整个项目的质量。</w:t>
      </w: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合同变更要求</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如在项目服务过程中需要调整合同中规定的工作内容，需经供应商与采购人共同同意，按合同变更程序办理。</w:t>
      </w:r>
    </w:p>
    <w:p>
      <w:pPr>
        <w:pStyle w:val="5"/>
        <w:keepNext/>
        <w:keepLines/>
        <w:numPr>
          <w:ilvl w:val="3"/>
          <w:numId w:val="2"/>
        </w:numPr>
        <w:spacing w:before="280" w:after="240" w:line="376" w:lineRule="auto"/>
        <w:ind w:firstLine="482"/>
        <w:outlineLvl w:val="3"/>
        <w:rPr>
          <w:rFonts w:hint="eastAsia" w:ascii="宋体" w:hAnsi="宋体" w:cs="宋体"/>
          <w:b/>
          <w:bCs/>
          <w:sz w:val="24"/>
          <w:szCs w:val="24"/>
        </w:rPr>
      </w:pPr>
      <w:r>
        <w:rPr>
          <w:rFonts w:hint="eastAsia" w:ascii="宋体" w:hAnsi="宋体" w:cs="宋体"/>
          <w:b/>
          <w:bCs/>
          <w:sz w:val="24"/>
          <w:szCs w:val="24"/>
        </w:rPr>
        <w:t>保密要求</w:t>
      </w:r>
    </w:p>
    <w:p>
      <w:pPr>
        <w:pStyle w:val="5"/>
        <w:numPr>
          <w:ilvl w:val="0"/>
          <w:numId w:val="11"/>
        </w:numPr>
        <w:adjustRightInd w:val="0"/>
        <w:spacing w:line="400" w:lineRule="exact"/>
        <w:ind w:firstLineChars="0"/>
        <w:textAlignment w:val="baseline"/>
        <w:rPr>
          <w:rFonts w:hint="eastAsia" w:ascii="宋体" w:hAnsi="宋体" w:cs="宋体"/>
          <w:sz w:val="24"/>
          <w:szCs w:val="24"/>
        </w:rPr>
      </w:pPr>
      <w:r>
        <w:rPr>
          <w:rFonts w:hint="eastAsia" w:ascii="宋体" w:hAnsi="宋体" w:cs="宋体"/>
          <w:sz w:val="24"/>
          <w:szCs w:val="24"/>
        </w:rPr>
        <w:t>供应商必须严格遵守采购人信息安全方面的要求。对于参与项目的人员均需要签订统一的信息保密协议。</w:t>
      </w:r>
    </w:p>
    <w:p>
      <w:pPr>
        <w:pStyle w:val="5"/>
        <w:numPr>
          <w:ilvl w:val="0"/>
          <w:numId w:val="11"/>
        </w:numPr>
        <w:adjustRightInd w:val="0"/>
        <w:spacing w:line="400" w:lineRule="exact"/>
        <w:ind w:firstLineChars="0"/>
        <w:textAlignment w:val="baseline"/>
        <w:rPr>
          <w:rFonts w:hint="eastAsia" w:ascii="宋体" w:hAnsi="宋体" w:cs="宋体"/>
          <w:sz w:val="24"/>
          <w:szCs w:val="24"/>
        </w:rPr>
      </w:pPr>
      <w:r>
        <w:rPr>
          <w:rFonts w:hint="eastAsia" w:ascii="宋体" w:hAnsi="宋体" w:cs="宋体"/>
          <w:sz w:val="24"/>
          <w:szCs w:val="24"/>
        </w:rPr>
        <w:t>供应商应对以下信息进行保密，具体包括：</w:t>
      </w:r>
    </w:p>
    <w:p>
      <w:pPr>
        <w:pStyle w:val="5"/>
        <w:adjustRightInd w:val="0"/>
        <w:spacing w:line="400" w:lineRule="exact"/>
        <w:ind w:left="840" w:firstLine="4" w:firstLineChars="2"/>
        <w:textAlignment w:val="baseline"/>
        <w:rPr>
          <w:rFonts w:hint="eastAsia" w:ascii="宋体" w:hAnsi="宋体" w:cs="宋体"/>
          <w:sz w:val="24"/>
          <w:szCs w:val="24"/>
        </w:rPr>
      </w:pPr>
      <w:r>
        <w:rPr>
          <w:rFonts w:hint="eastAsia" w:ascii="宋体" w:hAnsi="宋体" w:cs="宋体"/>
          <w:sz w:val="24"/>
          <w:szCs w:val="24"/>
        </w:rPr>
        <w:t>项目信息：如业务流程、技术方案、业务数据（静态数据、动态数据、历史数据）、报表指标、技术指标、计算机软件、数据库、操作手册、技术资料等。</w:t>
      </w:r>
    </w:p>
    <w:p>
      <w:pPr>
        <w:pStyle w:val="5"/>
        <w:adjustRightInd w:val="0"/>
        <w:spacing w:line="400" w:lineRule="exact"/>
        <w:ind w:left="840" w:firstLine="0" w:firstLineChars="0"/>
        <w:textAlignment w:val="baseline"/>
        <w:rPr>
          <w:rFonts w:hint="eastAsia" w:ascii="宋体" w:hAnsi="宋体" w:cs="宋体"/>
          <w:sz w:val="24"/>
          <w:szCs w:val="24"/>
        </w:rPr>
      </w:pPr>
      <w:r>
        <w:rPr>
          <w:rFonts w:hint="eastAsia" w:ascii="宋体" w:hAnsi="宋体" w:cs="宋体"/>
          <w:sz w:val="24"/>
          <w:szCs w:val="24"/>
        </w:rPr>
        <w:t>保密信息既包括书面认定为保密或专有的，又包括口头给予，随即被书面确认为保密或专有的信息。保密信息存储介质包括但不限于纸质文档、电子文档、光盘、U盘、服务器等文档。</w:t>
      </w:r>
    </w:p>
    <w:p>
      <w:pPr>
        <w:pStyle w:val="5"/>
        <w:numPr>
          <w:ilvl w:val="0"/>
          <w:numId w:val="11"/>
        </w:numPr>
        <w:adjustRightInd w:val="0"/>
        <w:spacing w:line="400" w:lineRule="exact"/>
        <w:ind w:firstLineChars="0"/>
        <w:textAlignment w:val="baseline"/>
        <w:rPr>
          <w:rFonts w:hint="eastAsia" w:ascii="宋体" w:hAnsi="宋体" w:cs="宋体"/>
          <w:sz w:val="24"/>
          <w:szCs w:val="24"/>
        </w:rPr>
      </w:pPr>
      <w:r>
        <w:rPr>
          <w:rFonts w:hint="eastAsia" w:ascii="宋体" w:hAnsi="宋体" w:cs="宋体"/>
          <w:sz w:val="24"/>
          <w:szCs w:val="24"/>
        </w:rPr>
        <w:t>供应商组建的项目成员在项目单位履行职责期间，必须遵守采购人规定的任何成文或不成文的保密规章、制度，履行与其工作岗位相应的保密职责。不向不承担相应保密义务的任何第三人披露采购人的商业秘密。</w:t>
      </w:r>
    </w:p>
    <w:p>
      <w:pPr>
        <w:pStyle w:val="5"/>
        <w:keepNext/>
        <w:keepLines/>
        <w:numPr>
          <w:ilvl w:val="1"/>
          <w:numId w:val="2"/>
        </w:numPr>
        <w:spacing w:before="260" w:after="260" w:line="415" w:lineRule="auto"/>
        <w:ind w:firstLine="480"/>
        <w:outlineLvl w:val="1"/>
        <w:rPr>
          <w:rFonts w:hint="eastAsia" w:ascii="宋体" w:hAnsi="宋体" w:cs="宋体"/>
          <w:bCs/>
          <w:sz w:val="24"/>
          <w:szCs w:val="24"/>
        </w:rPr>
      </w:pPr>
      <w:bookmarkStart w:id="26" w:name="_Toc124331572"/>
      <w:bookmarkStart w:id="27" w:name="_Toc114092360"/>
      <w:bookmarkStart w:id="28" w:name="_Toc87557844"/>
      <w:r>
        <w:rPr>
          <w:rFonts w:hint="eastAsia" w:ascii="宋体" w:hAnsi="宋体" w:cs="宋体"/>
          <w:bCs/>
          <w:sz w:val="24"/>
          <w:szCs w:val="24"/>
        </w:rPr>
        <w:t>所有权与收益要求</w:t>
      </w:r>
      <w:bookmarkEnd w:id="26"/>
      <w:bookmarkEnd w:id="27"/>
      <w:bookmarkEnd w:id="28"/>
    </w:p>
    <w:p>
      <w:pPr>
        <w:pStyle w:val="5"/>
        <w:numPr>
          <w:ilvl w:val="2"/>
          <w:numId w:val="2"/>
        </w:numPr>
        <w:spacing w:line="360" w:lineRule="auto"/>
        <w:ind w:left="425" w:hanging="424" w:hangingChars="177"/>
        <w:rPr>
          <w:rFonts w:hint="eastAsia" w:ascii="宋体" w:hAnsi="宋体" w:cs="宋体"/>
          <w:sz w:val="24"/>
          <w:szCs w:val="24"/>
        </w:rPr>
      </w:pPr>
      <w:r>
        <w:rPr>
          <w:rFonts w:hint="eastAsia" w:ascii="宋体" w:hAnsi="宋体" w:cs="宋体"/>
          <w:sz w:val="24"/>
          <w:szCs w:val="24"/>
        </w:rPr>
        <w:t>中标人在合同期限内仅拥有中标人所投资的所有设备的产权，即在采购人没有依照合同约定付清中标人的全部款项之前处分权属于中标人，如果遇到征收、拆迁或采购人破产及其他必须处分设备的情形，未征得中标人的意见，采购人不得作出任何处分设备的决定，处分所得属于中标人。采购人既有能源设备所有权均归采购人所有。</w:t>
      </w:r>
    </w:p>
    <w:p>
      <w:pPr>
        <w:pStyle w:val="5"/>
        <w:numPr>
          <w:ilvl w:val="2"/>
          <w:numId w:val="2"/>
        </w:numPr>
        <w:spacing w:line="360" w:lineRule="auto"/>
        <w:ind w:left="425" w:hanging="424" w:hangingChars="177"/>
        <w:rPr>
          <w:rFonts w:hint="eastAsia" w:ascii="宋体" w:hAnsi="宋体" w:cs="宋体"/>
          <w:sz w:val="24"/>
          <w:szCs w:val="24"/>
        </w:rPr>
      </w:pPr>
      <w:r>
        <w:rPr>
          <w:rFonts w:hint="eastAsia" w:ascii="宋体" w:hAnsi="宋体" w:cs="宋体"/>
          <w:sz w:val="24"/>
          <w:szCs w:val="24"/>
        </w:rPr>
        <w:t>合同期满后且采购人按合同付清能源托管费用后，中标人所投项目财产的所有权将无偿移交给采购人，中标人应保证项目财产正常运行，项目财产的所有权移交时，应同时移交本项目继续运行所必需的资料。如该项目财产的继续使用需要中标人的相关技术或相关知识产权的授权，中标人应当无偿向采购人提供仅适用于本项目的授权。如该项目财产的继续使用涉及第三方的服务，该服务的费用由采购人承担。</w:t>
      </w:r>
    </w:p>
    <w:p>
      <w:pPr>
        <w:pStyle w:val="5"/>
        <w:numPr>
          <w:ilvl w:val="2"/>
          <w:numId w:val="2"/>
        </w:numPr>
        <w:spacing w:line="360" w:lineRule="auto"/>
        <w:ind w:left="425" w:hanging="424" w:hangingChars="177"/>
        <w:rPr>
          <w:rFonts w:hint="eastAsia" w:ascii="宋体" w:hAnsi="宋体" w:cs="宋体"/>
          <w:sz w:val="24"/>
          <w:szCs w:val="24"/>
        </w:rPr>
      </w:pPr>
      <w:r>
        <w:rPr>
          <w:rFonts w:hint="eastAsia" w:ascii="宋体" w:hAnsi="宋体" w:cs="宋体"/>
          <w:sz w:val="24"/>
          <w:szCs w:val="24"/>
        </w:rPr>
        <w:t>本项目实施内容符合国家相关部门颁布的扶持、优惠或鼓励等政策的，由供应商量协助采购人完成项目申报。所获奖项由采购人与供应商共同协商署名，供应商所获优惠条件和专项补贴资金，由采购人与供应商共同协商后，由供应商为采购人提供同等价值的服务，并签订补充协议。</w:t>
      </w:r>
    </w:p>
    <w:p>
      <w:pPr>
        <w:pStyle w:val="5"/>
        <w:keepNext/>
        <w:keepLines/>
        <w:numPr>
          <w:ilvl w:val="1"/>
          <w:numId w:val="2"/>
        </w:numPr>
        <w:spacing w:before="260" w:after="260" w:line="415" w:lineRule="auto"/>
        <w:ind w:firstLine="480"/>
        <w:outlineLvl w:val="1"/>
        <w:rPr>
          <w:rFonts w:hint="eastAsia" w:ascii="宋体" w:hAnsi="宋体" w:cs="宋体"/>
          <w:bCs/>
          <w:sz w:val="24"/>
          <w:szCs w:val="24"/>
        </w:rPr>
      </w:pPr>
      <w:bookmarkStart w:id="29" w:name="_Toc124331573"/>
      <w:bookmarkStart w:id="30" w:name="_Toc87557845"/>
      <w:bookmarkStart w:id="31" w:name="_Ref87521833"/>
      <w:bookmarkStart w:id="32" w:name="_Toc114092361"/>
      <w:r>
        <w:rPr>
          <w:rFonts w:hint="eastAsia" w:ascii="宋体" w:hAnsi="宋体" w:cs="宋体"/>
          <w:bCs/>
          <w:sz w:val="24"/>
          <w:szCs w:val="24"/>
        </w:rPr>
        <w:t>付款方式及费用调整</w:t>
      </w:r>
      <w:bookmarkEnd w:id="17"/>
      <w:bookmarkEnd w:id="18"/>
      <w:bookmarkEnd w:id="29"/>
      <w:bookmarkEnd w:id="30"/>
      <w:bookmarkEnd w:id="31"/>
      <w:bookmarkEnd w:id="32"/>
    </w:p>
    <w:p>
      <w:pPr>
        <w:pStyle w:val="5"/>
        <w:keepNext/>
        <w:keepLines/>
        <w:numPr>
          <w:ilvl w:val="2"/>
          <w:numId w:val="2"/>
        </w:numPr>
        <w:spacing w:before="100" w:beforeAutospacing="1" w:after="240" w:afterLines="100"/>
        <w:ind w:firstLine="480"/>
        <w:outlineLvl w:val="2"/>
        <w:rPr>
          <w:rFonts w:hint="eastAsia" w:ascii="宋体" w:hAnsi="宋体" w:cs="宋体"/>
          <w:bCs/>
          <w:sz w:val="24"/>
          <w:szCs w:val="24"/>
        </w:rPr>
      </w:pPr>
      <w:bookmarkStart w:id="33" w:name="_Toc124331574"/>
      <w:r>
        <w:rPr>
          <w:rFonts w:hint="eastAsia" w:ascii="宋体" w:hAnsi="宋体" w:cs="宋体"/>
          <w:bCs/>
          <w:sz w:val="24"/>
          <w:szCs w:val="24"/>
        </w:rPr>
        <w:t>付款方式</w:t>
      </w:r>
      <w:bookmarkEnd w:id="33"/>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采购人与供应商双方确定采用能源费用托管型合同能源管理模式。托管期内，由采购人委托供应商进行能源系统的运行、管理、维护或(和)节能改造。采购人需向供应商支付能源托管费用，并由供应商负责缴纳采购人托管期内的能源费用。</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highlight w:val="red"/>
        </w:rPr>
        <w:t>采购人每月按合同约定向供应商支付能源托管费用（相应托管周期约定总费用的1/12）。</w:t>
      </w:r>
      <w:r>
        <w:rPr>
          <w:rFonts w:hint="eastAsia" w:ascii="宋体" w:hAnsi="宋体" w:cs="宋体"/>
          <w:iCs/>
          <w:sz w:val="24"/>
          <w:szCs w:val="24"/>
          <w:highlight w:val="red"/>
        </w:rPr>
        <w:t>托管期间如遇能源费用价格调整,托管费用应按能耗基准单价与实际价格的价差进行调整，年底进行一次性结算，多退少补。</w:t>
      </w:r>
    </w:p>
    <w:p>
      <w:pPr>
        <w:pStyle w:val="5"/>
        <w:adjustRightInd w:val="0"/>
        <w:spacing w:line="400" w:lineRule="exact"/>
        <w:ind w:firstLine="480"/>
        <w:textAlignment w:val="baseline"/>
        <w:rPr>
          <w:rFonts w:hint="eastAsia" w:ascii="宋体" w:hAnsi="宋体" w:cs="宋体"/>
          <w:sz w:val="24"/>
          <w:szCs w:val="24"/>
        </w:rPr>
      </w:pPr>
      <w:r>
        <w:rPr>
          <w:rFonts w:hint="eastAsia" w:ascii="宋体" w:hAnsi="宋体" w:cs="宋体"/>
          <w:sz w:val="24"/>
          <w:szCs w:val="24"/>
        </w:rPr>
        <w:t>能耗基准计算单价如下：</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电单价0.675元/Kwh，气单价3.23元/m³，水单价2.93元/t。</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供应商每月5日前开具能源托管服务费发票，采购人在收到供应商服务费发票后10个工作日内，以电汇方式向供应商指定账户按时支付每月的能源托管费用。</w:t>
      </w:r>
    </w:p>
    <w:p>
      <w:pPr>
        <w:pStyle w:val="5"/>
        <w:keepNext/>
        <w:keepLines/>
        <w:numPr>
          <w:ilvl w:val="2"/>
          <w:numId w:val="2"/>
        </w:numPr>
        <w:spacing w:before="100" w:beforeAutospacing="1" w:after="240" w:afterLines="100"/>
        <w:ind w:firstLine="482"/>
        <w:outlineLvl w:val="2"/>
        <w:rPr>
          <w:rFonts w:hint="eastAsia" w:ascii="宋体" w:hAnsi="宋体" w:cs="宋体"/>
          <w:bCs/>
          <w:sz w:val="24"/>
          <w:szCs w:val="24"/>
        </w:rPr>
      </w:pPr>
      <w:bookmarkStart w:id="34" w:name="_Toc124331575"/>
      <w:r>
        <w:rPr>
          <w:rFonts w:hint="eastAsia" w:ascii="宋体" w:hAnsi="宋体" w:cs="宋体"/>
          <w:b/>
          <w:bCs/>
          <w:sz w:val="24"/>
          <w:szCs w:val="24"/>
        </w:rPr>
        <w:t>费用调整</w:t>
      </w:r>
      <w:r>
        <w:rPr>
          <w:rFonts w:hint="eastAsia" w:ascii="宋体" w:hAnsi="宋体" w:cs="宋体"/>
          <w:bCs/>
          <w:sz w:val="24"/>
          <w:szCs w:val="24"/>
        </w:rPr>
        <w:t>机制</w:t>
      </w:r>
      <w:bookmarkEnd w:id="34"/>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考虑到本项目合同期内可能发生诸如政策性能源单价调整、甲方业务范围（量）调整、不可抗力等事件，导致本项目合同边界发生变化，双方可按如下约定进行合同费用调整：</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4.2.1 能源单价调整的因素</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能源托管费用采用的能源单价分别为电单价0.675元/Kwh，气单价3.23元/m³，水单价2.93元/t为基准。如果单价发生变化，能源托管费在各能耗量基础上根据单价进行调整，即运维期基准=电基准值*电实际单价+水基准值*水实际单价+气基准值*气实际单价。</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 能源设备以双方签认的附件二《医院现有能源设备清单》为基准。</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4.2.2.1本项目合同期内如发生用能设备及器具增加、减少或规格变化，甲方设备采购科室应于设备到场后5个工作日内以书面材料形式告知乙方新增设备台账信息，由乙方协助甲方完善用能设备及器具台账，实现合同期内设备及器具的全生命周期管理。</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4.2.2.2如用电设备及器具发生调整（包括但不限于增加、减少或规格变化），当调整的用能设备及器具累计铭牌功率（含配套新增的辅助设备）≥5kW时，应进行托管费用调整，在各托管周期能源托管用量基础上增加或减少用电量，并于次月调整能源托管费，具体调整计算方式如下：</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（1）具备条件安装表计进行独立计量的用能设备及器具，由乙方在甲方指导下加装计量表计。</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（2）不具备条件安装表计进行独立计量的用能设备及器具，由甲乙双方协商并书面确认其年运行时间，通过【铭牌功率（含配套新增的辅助设备）×年运行时间】方式计算。</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4.2.2.3.如用气设备及器具发生调整（包括但不限于增加、减少或规格变化），当调整的单台设备及器具铭牌额定燃气消耗量≥3m³/h时，应进行托管费用调整，在各托管周期能源托管用量基础上增加或减少用气量，并于次月调整能源托管费，具体调整计算方式如下：</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（1）具备条件安装表计进行独立计量的用能设备及器具，由乙方在甲方指导下加装计量表计。</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（2）不具备条件安装表计进行独立计量的用能设备及器具，由甲乙双方协商并书面确认其年运行时间，通过【铭牌额定燃气消耗量×年运行时间】方式计算。</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4.2.2.4.如用水设备及器具发生调整（包括但不限于增加、减少或规格变化），当调整的单台设备及器具铭牌额定用水量≥500kg时，应进行托管费用调整，在各托管周期能源托管用量基础上增加或减少用水量，并于次月调整能源托管费，具体调整计算方式如下：</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（1）具备条件安装表计进行独立计量的用能设备及器具，由乙方在甲方指导下加装计量表计。</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（2）不具备条件安装表计进行独立计量的用能设备及器具，由甲乙双方协商并书面确认其年运行时间，通过【铭牌额定用水量×年运行时间】方式计算。</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4.2.2.5.医院供能设备（包括供暖设备、制冷设备、配电室、变压器、风机盘管、管道等设备）的更新改造和大修费用不包括在缴费费用之内，列入院方的固定资产投资计划，由院方自行承担；院方设备的日常维保和综合维修由院方遵循托管前的管理制度及相关国家标准有序进行，如因院方怠于维修维保造成能耗上升的，由院方承担。</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4.2.2.6.新增/减少业务楼栋与面积：合同·期内，新增建筑或面积时应安装表计进行计量并独立核算费用；减少楼栋或面积时应按实际计量的能源消耗量扣减。</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4.2.2.7.翻新改扩建、新建施工用能：医院如存在既有业务楼栋翻新、改扩建或新建建筑等施工过程，应安装表计对施工全过程进行独立计量，按实际计量的能源消耗量进行调整并核算费用。并经双方协商，签订补充协议。</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4.2.2.8.合同期内如医院部分业务服务范围扩展至院外（包括但不限于食堂承接院外团餐服务、中心供应承接院外消毒供应服务等），应安装表计进行独立计量，按实际计量的能源消耗量进行调整并核算费用。</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4.2.2.9.业务内容或业务量发生变化，导致实际能耗发生重大变化：业务内容或业务量变化超出3%，导致实际能耗发生变化，双方协商解决。</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4.2.2.10.由于极端天气变化影响，导致实际能耗发生重大变化，应进行能源托管费用调整，双方协商解决。</w:t>
      </w:r>
    </w:p>
    <w:p>
      <w:pPr>
        <w:pStyle w:val="5"/>
        <w:adjustRightInd w:val="0"/>
        <w:spacing w:line="400" w:lineRule="exact"/>
        <w:ind w:firstLine="480"/>
        <w:textAlignment w:val="baseline"/>
        <w:rPr>
          <w:rFonts w:hint="eastAsia" w:ascii="宋体" w:hAnsi="宋体" w:cs="宋体"/>
          <w:iCs/>
          <w:sz w:val="24"/>
          <w:szCs w:val="24"/>
        </w:rPr>
      </w:pPr>
      <w:r>
        <w:rPr>
          <w:rFonts w:hint="eastAsia" w:ascii="宋体" w:hAnsi="宋体" w:cs="宋体"/>
          <w:iCs/>
          <w:sz w:val="24"/>
          <w:szCs w:val="24"/>
        </w:rPr>
        <w:t>4.2.2.11.其他影响因素约束机制：如遇重大公共卫生事件、重大活动、气象灾害、外力破坏、地震、战争、暴乱及其他不可抗力事件，以及边界条件约定之外实际发生的不可预见的能耗异常，双方协商处理。</w:t>
      </w:r>
    </w:p>
    <w:p>
      <w:pPr>
        <w:pStyle w:val="5"/>
        <w:spacing w:line="360" w:lineRule="auto"/>
        <w:ind w:firstLine="480"/>
        <w:jc w:val="center"/>
        <w:rPr>
          <w:rFonts w:hint="eastAsia" w:ascii="宋体" w:hAnsi="宋体" w:cs="宋体"/>
          <w:sz w:val="24"/>
          <w:szCs w:val="24"/>
        </w:rPr>
      </w:pPr>
      <w:r>
        <w:rPr>
          <w:rFonts w:hint="eastAsia" w:ascii="宋体" w:hAnsi="宋体" w:cs="宋体"/>
          <w:sz w:val="24"/>
          <w:szCs w:val="24"/>
        </w:rPr>
        <w:t>第一至第十个托管周期能源基准</w:t>
      </w:r>
    </w:p>
    <w:tbl>
      <w:tblPr>
        <w:tblStyle w:val="3"/>
        <w:tblW w:w="5000" w:type="pct"/>
        <w:tblInd w:w="0" w:type="dxa"/>
        <w:tblLayout w:type="autofit"/>
        <w:tblCellMar>
          <w:top w:w="0" w:type="dxa"/>
          <w:left w:w="108" w:type="dxa"/>
          <w:bottom w:w="0" w:type="dxa"/>
          <w:right w:w="108" w:type="dxa"/>
        </w:tblCellMar>
      </w:tblPr>
      <w:tblGrid>
        <w:gridCol w:w="2436"/>
        <w:gridCol w:w="2280"/>
        <w:gridCol w:w="2027"/>
        <w:gridCol w:w="1779"/>
      </w:tblGrid>
      <w:tr>
        <w:tblPrEx>
          <w:tblCellMar>
            <w:top w:w="0" w:type="dxa"/>
            <w:left w:w="108" w:type="dxa"/>
            <w:bottom w:w="0" w:type="dxa"/>
            <w:right w:w="108" w:type="dxa"/>
          </w:tblCellMar>
        </w:tblPrEx>
        <w:trPr>
          <w:trHeight w:val="300" w:hRule="atLeast"/>
        </w:trPr>
        <w:tc>
          <w:tcPr>
            <w:tcW w:w="1429" w:type="pct"/>
            <w:tcBorders>
              <w:top w:val="single" w:color="auto" w:sz="4" w:space="0"/>
              <w:left w:val="single" w:color="auto" w:sz="4" w:space="0"/>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托管周期</w:t>
            </w:r>
          </w:p>
        </w:tc>
        <w:tc>
          <w:tcPr>
            <w:tcW w:w="1338" w:type="pct"/>
            <w:tcBorders>
              <w:top w:val="single" w:color="auto" w:sz="4" w:space="0"/>
              <w:left w:val="nil"/>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电基准（KWh）</w:t>
            </w:r>
          </w:p>
        </w:tc>
        <w:tc>
          <w:tcPr>
            <w:tcW w:w="1189" w:type="pct"/>
            <w:tcBorders>
              <w:top w:val="single" w:color="auto" w:sz="4" w:space="0"/>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气基准（m³）</w:t>
            </w:r>
          </w:p>
        </w:tc>
        <w:tc>
          <w:tcPr>
            <w:tcW w:w="1044" w:type="pct"/>
            <w:tcBorders>
              <w:top w:val="single" w:color="auto" w:sz="4" w:space="0"/>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水基准（t）</w:t>
            </w:r>
          </w:p>
        </w:tc>
      </w:tr>
      <w:tr>
        <w:tblPrEx>
          <w:tblCellMar>
            <w:top w:w="0" w:type="dxa"/>
            <w:left w:w="108" w:type="dxa"/>
            <w:bottom w:w="0" w:type="dxa"/>
            <w:right w:w="108" w:type="dxa"/>
          </w:tblCellMar>
        </w:tblPrEx>
        <w:trPr>
          <w:trHeight w:val="310" w:hRule="atLeast"/>
        </w:trPr>
        <w:tc>
          <w:tcPr>
            <w:tcW w:w="1429" w:type="pct"/>
            <w:tcBorders>
              <w:top w:val="nil"/>
              <w:left w:val="single" w:color="auto" w:sz="4" w:space="0"/>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第一个托管周期</w:t>
            </w:r>
          </w:p>
        </w:tc>
        <w:tc>
          <w:tcPr>
            <w:tcW w:w="1338" w:type="pct"/>
            <w:tcBorders>
              <w:top w:val="nil"/>
              <w:left w:val="nil"/>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p>
        </w:tc>
        <w:tc>
          <w:tcPr>
            <w:tcW w:w="1189"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c>
          <w:tcPr>
            <w:tcW w:w="1044"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10" w:hRule="atLeast"/>
        </w:trPr>
        <w:tc>
          <w:tcPr>
            <w:tcW w:w="1429" w:type="pct"/>
            <w:tcBorders>
              <w:top w:val="nil"/>
              <w:left w:val="single" w:color="auto" w:sz="4" w:space="0"/>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第二个托管周期</w:t>
            </w:r>
          </w:p>
        </w:tc>
        <w:tc>
          <w:tcPr>
            <w:tcW w:w="1338" w:type="pct"/>
            <w:tcBorders>
              <w:top w:val="nil"/>
              <w:left w:val="nil"/>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p>
        </w:tc>
        <w:tc>
          <w:tcPr>
            <w:tcW w:w="1189"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c>
          <w:tcPr>
            <w:tcW w:w="1044"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10" w:hRule="atLeast"/>
        </w:trPr>
        <w:tc>
          <w:tcPr>
            <w:tcW w:w="1429" w:type="pct"/>
            <w:tcBorders>
              <w:top w:val="nil"/>
              <w:left w:val="single" w:color="auto" w:sz="4" w:space="0"/>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第三个托管周期</w:t>
            </w:r>
          </w:p>
        </w:tc>
        <w:tc>
          <w:tcPr>
            <w:tcW w:w="1338" w:type="pct"/>
            <w:tcBorders>
              <w:top w:val="nil"/>
              <w:left w:val="nil"/>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p>
        </w:tc>
        <w:tc>
          <w:tcPr>
            <w:tcW w:w="1189"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c>
          <w:tcPr>
            <w:tcW w:w="1044"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10" w:hRule="atLeast"/>
        </w:trPr>
        <w:tc>
          <w:tcPr>
            <w:tcW w:w="1429" w:type="pct"/>
            <w:tcBorders>
              <w:top w:val="nil"/>
              <w:left w:val="single" w:color="auto" w:sz="4" w:space="0"/>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第四个托管周期</w:t>
            </w:r>
          </w:p>
        </w:tc>
        <w:tc>
          <w:tcPr>
            <w:tcW w:w="1338" w:type="pct"/>
            <w:tcBorders>
              <w:top w:val="nil"/>
              <w:left w:val="nil"/>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p>
        </w:tc>
        <w:tc>
          <w:tcPr>
            <w:tcW w:w="1189"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c>
          <w:tcPr>
            <w:tcW w:w="1044"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10" w:hRule="atLeast"/>
        </w:trPr>
        <w:tc>
          <w:tcPr>
            <w:tcW w:w="1429" w:type="pct"/>
            <w:tcBorders>
              <w:top w:val="nil"/>
              <w:left w:val="single" w:color="auto" w:sz="4" w:space="0"/>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第五个托管周期</w:t>
            </w:r>
          </w:p>
        </w:tc>
        <w:tc>
          <w:tcPr>
            <w:tcW w:w="1338" w:type="pct"/>
            <w:tcBorders>
              <w:top w:val="nil"/>
              <w:left w:val="nil"/>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p>
        </w:tc>
        <w:tc>
          <w:tcPr>
            <w:tcW w:w="1189"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c>
          <w:tcPr>
            <w:tcW w:w="1044"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10" w:hRule="atLeast"/>
        </w:trPr>
        <w:tc>
          <w:tcPr>
            <w:tcW w:w="1429" w:type="pct"/>
            <w:tcBorders>
              <w:top w:val="nil"/>
              <w:left w:val="single" w:color="auto" w:sz="4" w:space="0"/>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第六个托管周期</w:t>
            </w:r>
          </w:p>
        </w:tc>
        <w:tc>
          <w:tcPr>
            <w:tcW w:w="1338" w:type="pct"/>
            <w:tcBorders>
              <w:top w:val="nil"/>
              <w:left w:val="nil"/>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p>
        </w:tc>
        <w:tc>
          <w:tcPr>
            <w:tcW w:w="1189"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c>
          <w:tcPr>
            <w:tcW w:w="1044"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10" w:hRule="atLeast"/>
        </w:trPr>
        <w:tc>
          <w:tcPr>
            <w:tcW w:w="1429" w:type="pct"/>
            <w:tcBorders>
              <w:top w:val="nil"/>
              <w:left w:val="single" w:color="auto" w:sz="4" w:space="0"/>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第七个托管周期</w:t>
            </w:r>
          </w:p>
        </w:tc>
        <w:tc>
          <w:tcPr>
            <w:tcW w:w="1338" w:type="pct"/>
            <w:tcBorders>
              <w:top w:val="nil"/>
              <w:left w:val="nil"/>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p>
        </w:tc>
        <w:tc>
          <w:tcPr>
            <w:tcW w:w="1189"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c>
          <w:tcPr>
            <w:tcW w:w="1044"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10" w:hRule="atLeast"/>
        </w:trPr>
        <w:tc>
          <w:tcPr>
            <w:tcW w:w="1429" w:type="pct"/>
            <w:tcBorders>
              <w:top w:val="nil"/>
              <w:left w:val="single" w:color="auto" w:sz="4" w:space="0"/>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第八个托管周期</w:t>
            </w:r>
          </w:p>
        </w:tc>
        <w:tc>
          <w:tcPr>
            <w:tcW w:w="1338" w:type="pct"/>
            <w:tcBorders>
              <w:top w:val="nil"/>
              <w:left w:val="nil"/>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p>
        </w:tc>
        <w:tc>
          <w:tcPr>
            <w:tcW w:w="1189"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c>
          <w:tcPr>
            <w:tcW w:w="1044"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10" w:hRule="atLeast"/>
        </w:trPr>
        <w:tc>
          <w:tcPr>
            <w:tcW w:w="1429" w:type="pct"/>
            <w:tcBorders>
              <w:top w:val="nil"/>
              <w:left w:val="single" w:color="auto" w:sz="4" w:space="0"/>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第九个托管周期</w:t>
            </w:r>
          </w:p>
        </w:tc>
        <w:tc>
          <w:tcPr>
            <w:tcW w:w="1338" w:type="pct"/>
            <w:tcBorders>
              <w:top w:val="nil"/>
              <w:left w:val="nil"/>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p>
        </w:tc>
        <w:tc>
          <w:tcPr>
            <w:tcW w:w="1189"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c>
          <w:tcPr>
            <w:tcW w:w="1044"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10" w:hRule="atLeast"/>
        </w:trPr>
        <w:tc>
          <w:tcPr>
            <w:tcW w:w="1429" w:type="pct"/>
            <w:tcBorders>
              <w:top w:val="nil"/>
              <w:left w:val="single" w:color="auto" w:sz="4" w:space="0"/>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r>
              <w:rPr>
                <w:rFonts w:hint="eastAsia" w:ascii="宋体" w:hAnsi="宋体" w:cs="宋体"/>
                <w:color w:val="000000"/>
                <w:kern w:val="0"/>
                <w:sz w:val="24"/>
                <w:szCs w:val="24"/>
              </w:rPr>
              <w:t>第十个托管周期</w:t>
            </w:r>
          </w:p>
        </w:tc>
        <w:tc>
          <w:tcPr>
            <w:tcW w:w="1338" w:type="pct"/>
            <w:tcBorders>
              <w:top w:val="nil"/>
              <w:left w:val="nil"/>
              <w:bottom w:val="single" w:color="auto" w:sz="4" w:space="0"/>
              <w:right w:val="single" w:color="auto" w:sz="4" w:space="0"/>
            </w:tcBorders>
            <w:noWrap w:val="0"/>
            <w:vAlign w:val="center"/>
          </w:tcPr>
          <w:p>
            <w:pPr>
              <w:pStyle w:val="5"/>
              <w:widowControl/>
              <w:ind w:firstLine="0" w:firstLineChars="0"/>
              <w:jc w:val="center"/>
              <w:rPr>
                <w:rFonts w:hint="eastAsia" w:ascii="宋体" w:hAnsi="宋体" w:cs="宋体"/>
                <w:color w:val="000000"/>
                <w:kern w:val="0"/>
                <w:sz w:val="24"/>
                <w:szCs w:val="24"/>
              </w:rPr>
            </w:pPr>
          </w:p>
        </w:tc>
        <w:tc>
          <w:tcPr>
            <w:tcW w:w="1189"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c>
          <w:tcPr>
            <w:tcW w:w="1044" w:type="pct"/>
            <w:tcBorders>
              <w:top w:val="nil"/>
              <w:left w:val="nil"/>
              <w:bottom w:val="single" w:color="auto" w:sz="4" w:space="0"/>
              <w:right w:val="single" w:color="auto" w:sz="4" w:space="0"/>
            </w:tcBorders>
            <w:noWrap/>
            <w:vAlign w:val="center"/>
          </w:tcPr>
          <w:p>
            <w:pPr>
              <w:pStyle w:val="5"/>
              <w:widowControl/>
              <w:ind w:firstLine="0" w:firstLineChars="0"/>
              <w:jc w:val="center"/>
              <w:rPr>
                <w:rFonts w:hint="eastAsia" w:ascii="宋体" w:hAnsi="宋体" w:cs="宋体"/>
                <w:color w:val="000000"/>
                <w:kern w:val="0"/>
                <w:sz w:val="24"/>
                <w:szCs w:val="24"/>
              </w:rPr>
            </w:pPr>
          </w:p>
        </w:tc>
      </w:tr>
    </w:tbl>
    <w:p>
      <w:pPr>
        <w:pStyle w:val="5"/>
        <w:ind w:firstLine="0" w:firstLineChars="0"/>
        <w:rPr>
          <w:rFonts w:hint="eastAsia" w:ascii="宋体" w:hAnsi="宋体" w:cs="宋体"/>
          <w:sz w:val="24"/>
          <w:szCs w:val="24"/>
        </w:rPr>
      </w:pPr>
      <w:r>
        <w:rPr>
          <w:rFonts w:hint="eastAsia" w:ascii="宋体" w:hAnsi="宋体" w:cs="宋体"/>
          <w:b/>
          <w:sz w:val="24"/>
          <w:szCs w:val="24"/>
        </w:rPr>
        <w:t>备注：能源基准需与投标分项报价对应。（实质性要求）</w:t>
      </w:r>
    </w:p>
    <w:p>
      <w:pPr>
        <w:rPr>
          <w:rFonts w:hint="eastAsia"/>
          <w:color w:val="000080"/>
          <w:sz w:val="20"/>
          <w:highlight w:val="white"/>
        </w:rPr>
      </w:pPr>
      <w:r>
        <w:rPr>
          <w:rFonts w:hint="eastAsia"/>
          <w:color w:val="000080"/>
          <w:sz w:val="20"/>
          <w:highlight w:val="white"/>
        </w:rPr>
        <w:t xml:space="preserve"> </w:t>
      </w:r>
      <w:bookmarkEnd w:id="6"/>
      <w:bookmarkStart w:id="35" w:name="_Toc459223858"/>
    </w:p>
    <w:p>
      <w:r>
        <w:rPr>
          <w:highlight w:val="white"/>
        </w:rPr>
        <w:br w:type="page"/>
      </w:r>
      <w:bookmarkEnd w:id="3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281065"/>
    <w:multiLevelType w:val="multilevel"/>
    <w:tmpl w:val="7E281065"/>
    <w:lvl w:ilvl="0" w:tentative="0">
      <w:start w:val="1"/>
      <w:numFmt w:val="chineseCountingThousand"/>
      <w:lvlText w:val="%1、"/>
      <w:lvlJc w:val="left"/>
      <w:pPr>
        <w:ind w:left="425" w:hanging="425"/>
      </w:pPr>
      <w:rPr>
        <w:rFonts w:hint="eastAsia"/>
      </w:rPr>
    </w:lvl>
    <w:lvl w:ilvl="1" w:tentative="0">
      <w:start w:val="1"/>
      <w:numFmt w:val="decimal"/>
      <w:isLgl/>
      <w:lvlText w:val="%1.%2."/>
      <w:lvlJc w:val="left"/>
      <w:pPr>
        <w:ind w:left="567" w:hanging="567"/>
      </w:pPr>
      <w:rPr>
        <w:rFonts w:hint="eastAsia"/>
      </w:rPr>
    </w:lvl>
    <w:lvl w:ilvl="2" w:tentative="0">
      <w:start w:val="1"/>
      <w:numFmt w:val="decimal"/>
      <w:isLgl/>
      <w:suff w:val="nothing"/>
      <w:lvlText w:val="%1.%2.%3."/>
      <w:lvlJc w:val="left"/>
      <w:pPr>
        <w:ind w:left="709" w:hanging="709"/>
      </w:pPr>
      <w:rPr>
        <w:rFonts w:hint="eastAsia"/>
      </w:rPr>
    </w:lvl>
    <w:lvl w:ilvl="3" w:tentative="0">
      <w:start w:val="1"/>
      <w:numFmt w:val="decimal"/>
      <w:isLgl/>
      <w:lvlText w:val="%1.%2.%3.%4."/>
      <w:lvlJc w:val="left"/>
      <w:pPr>
        <w:ind w:left="851" w:hanging="851"/>
      </w:pPr>
      <w:rPr>
        <w:rFonts w:hint="eastAsia"/>
      </w:rPr>
    </w:lvl>
    <w:lvl w:ilvl="4" w:tentative="0">
      <w:start w:val="1"/>
      <w:numFmt w:val="decimal"/>
      <w:isLgl/>
      <w:lvlText w:val="%1.%2.%3.%4.%5."/>
      <w:lvlJc w:val="left"/>
      <w:pPr>
        <w:ind w:left="992" w:hanging="992"/>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6" w:hanging="1276"/>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9" w:hanging="1559"/>
      </w:pPr>
      <w:rPr>
        <w:rFonts w:hint="eastAsia"/>
      </w:rPr>
    </w:lvl>
  </w:abstractNum>
  <w:abstractNum w:abstractNumId="1">
    <w:nsid w:val="7E281066"/>
    <w:multiLevelType w:val="multilevel"/>
    <w:tmpl w:val="7E281066"/>
    <w:lvl w:ilvl="0" w:tentative="0">
      <w:start w:val="1"/>
      <w:numFmt w:val="none"/>
      <w:lvlText w:val="%1"/>
      <w:lvlJc w:val="left"/>
      <w:pPr>
        <w:ind w:left="425" w:hanging="425"/>
      </w:pPr>
      <w:rPr>
        <w:rFonts w:hint="eastAsia"/>
      </w:rPr>
    </w:lvl>
    <w:lvl w:ilvl="1" w:tentative="0">
      <w:start w:val="1"/>
      <w:numFmt w:val="chineseCountingThousand"/>
      <w:lvlText w:val="%1%2、"/>
      <w:lvlJc w:val="left"/>
      <w:pPr>
        <w:ind w:left="567" w:hanging="567"/>
      </w:pPr>
      <w:rPr>
        <w:rFonts w:hint="eastAsia"/>
      </w:rPr>
    </w:lvl>
    <w:lvl w:ilvl="2" w:tentative="0">
      <w:start w:val="1"/>
      <w:numFmt w:val="decimal"/>
      <w:isLgl/>
      <w:lvlText w:val="%1%2.%3."/>
      <w:lvlJc w:val="left"/>
      <w:pPr>
        <w:ind w:left="709" w:hanging="709"/>
      </w:pPr>
      <w:rPr>
        <w:rFonts w:hint="eastAsia"/>
      </w:rPr>
    </w:lvl>
    <w:lvl w:ilvl="3" w:tentative="0">
      <w:start w:val="1"/>
      <w:numFmt w:val="decimal"/>
      <w:isLgl/>
      <w:lvlText w:val="%1%2.%3.%4."/>
      <w:lvlJc w:val="left"/>
      <w:pPr>
        <w:ind w:left="851" w:hanging="851"/>
      </w:pPr>
      <w:rPr>
        <w:rFonts w:hint="eastAsia"/>
        <w:sz w:val="24"/>
        <w:szCs w:val="32"/>
      </w:rPr>
    </w:lvl>
    <w:lvl w:ilvl="4" w:tentative="0">
      <w:start w:val="1"/>
      <w:numFmt w:val="decimal"/>
      <w:isLgl/>
      <w:lvlText w:val="%1%2.%3.%4.%5."/>
      <w:lvlJc w:val="left"/>
      <w:pPr>
        <w:ind w:left="992" w:hanging="992"/>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6" w:hanging="1276"/>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9" w:hanging="1559"/>
      </w:pPr>
      <w:rPr>
        <w:rFonts w:hint="eastAsia"/>
      </w:rPr>
    </w:lvl>
  </w:abstractNum>
  <w:abstractNum w:abstractNumId="2">
    <w:nsid w:val="7E281067"/>
    <w:multiLevelType w:val="multilevel"/>
    <w:tmpl w:val="7E281067"/>
    <w:lvl w:ilvl="0" w:tentative="0">
      <w:start w:val="1"/>
      <w:numFmt w:val="decimal"/>
      <w:lvlText w:val="%1."/>
      <w:lvlJc w:val="left"/>
      <w:pPr>
        <w:ind w:left="357" w:hanging="420"/>
      </w:pPr>
    </w:lvl>
    <w:lvl w:ilvl="1" w:tentative="0">
      <w:start w:val="1"/>
      <w:numFmt w:val="lowerLetter"/>
      <w:lvlText w:val="%2)"/>
      <w:lvlJc w:val="left"/>
      <w:pPr>
        <w:ind w:left="777" w:hanging="420"/>
      </w:pPr>
    </w:lvl>
    <w:lvl w:ilvl="2" w:tentative="0">
      <w:start w:val="1"/>
      <w:numFmt w:val="lowerRoman"/>
      <w:lvlText w:val="%3."/>
      <w:lvlJc w:val="right"/>
      <w:pPr>
        <w:ind w:left="1197" w:hanging="420"/>
      </w:pPr>
    </w:lvl>
    <w:lvl w:ilvl="3" w:tentative="0">
      <w:start w:val="1"/>
      <w:numFmt w:val="decimal"/>
      <w:lvlText w:val="%4."/>
      <w:lvlJc w:val="left"/>
      <w:pPr>
        <w:ind w:left="1617" w:hanging="420"/>
      </w:pPr>
    </w:lvl>
    <w:lvl w:ilvl="4" w:tentative="0">
      <w:start w:val="1"/>
      <w:numFmt w:val="lowerLetter"/>
      <w:lvlText w:val="%5)"/>
      <w:lvlJc w:val="left"/>
      <w:pPr>
        <w:ind w:left="2037" w:hanging="420"/>
      </w:pPr>
    </w:lvl>
    <w:lvl w:ilvl="5" w:tentative="0">
      <w:start w:val="1"/>
      <w:numFmt w:val="lowerRoman"/>
      <w:lvlText w:val="%6."/>
      <w:lvlJc w:val="right"/>
      <w:pPr>
        <w:ind w:left="2457" w:hanging="420"/>
      </w:pPr>
    </w:lvl>
    <w:lvl w:ilvl="6" w:tentative="0">
      <w:start w:val="1"/>
      <w:numFmt w:val="decimal"/>
      <w:lvlText w:val="%7."/>
      <w:lvlJc w:val="left"/>
      <w:pPr>
        <w:ind w:left="2877" w:hanging="420"/>
      </w:pPr>
    </w:lvl>
    <w:lvl w:ilvl="7" w:tentative="0">
      <w:start w:val="1"/>
      <w:numFmt w:val="lowerLetter"/>
      <w:lvlText w:val="%8)"/>
      <w:lvlJc w:val="left"/>
      <w:pPr>
        <w:ind w:left="3297" w:hanging="420"/>
      </w:pPr>
    </w:lvl>
    <w:lvl w:ilvl="8" w:tentative="0">
      <w:start w:val="1"/>
      <w:numFmt w:val="lowerRoman"/>
      <w:lvlText w:val="%9."/>
      <w:lvlJc w:val="right"/>
      <w:pPr>
        <w:ind w:left="3717" w:hanging="420"/>
      </w:pPr>
    </w:lvl>
  </w:abstractNum>
  <w:abstractNum w:abstractNumId="3">
    <w:nsid w:val="7E281068"/>
    <w:multiLevelType w:val="multilevel"/>
    <w:tmpl w:val="7E281068"/>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E281069"/>
    <w:multiLevelType w:val="multilevel"/>
    <w:tmpl w:val="7E281069"/>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E28106A"/>
    <w:multiLevelType w:val="multilevel"/>
    <w:tmpl w:val="7E28106A"/>
    <w:lvl w:ilvl="0" w:tentative="0">
      <w:start w:val="1"/>
      <w:numFmt w:val="decimal"/>
      <w:lvlText w:val="（%1)"/>
      <w:lvlJc w:val="center"/>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7E28106B"/>
    <w:multiLevelType w:val="multilevel"/>
    <w:tmpl w:val="7E28106B"/>
    <w:lvl w:ilvl="0" w:tentative="0">
      <w:start w:val="1"/>
      <w:numFmt w:val="decimal"/>
      <w:lvlText w:val="（%1)"/>
      <w:lvlJc w:val="center"/>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7E28106C"/>
    <w:multiLevelType w:val="multilevel"/>
    <w:tmpl w:val="7E28106C"/>
    <w:lvl w:ilvl="0" w:tentative="0">
      <w:start w:val="1"/>
      <w:numFmt w:val="decimal"/>
      <w:lvlText w:val="（%1)"/>
      <w:lvlJc w:val="center"/>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7E28106D"/>
    <w:multiLevelType w:val="multilevel"/>
    <w:tmpl w:val="7E28106D"/>
    <w:lvl w:ilvl="0" w:tentative="0">
      <w:start w:val="1"/>
      <w:numFmt w:val="decimal"/>
      <w:lvlText w:val="（%1)"/>
      <w:lvlJc w:val="center"/>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7E28106E"/>
    <w:multiLevelType w:val="multilevel"/>
    <w:tmpl w:val="7E28106E"/>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E28106F"/>
    <w:multiLevelType w:val="multilevel"/>
    <w:tmpl w:val="7E28106F"/>
    <w:lvl w:ilvl="0" w:tentative="0">
      <w:start w:val="1"/>
      <w:numFmt w:val="decimal"/>
      <w:lvlText w:val="（%1)"/>
      <w:lvlJc w:val="center"/>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yYmRkN2VmNDQwMWE2N2Y5ODY4NjA1MTRjNDJiNTEifQ=="/>
  </w:docVars>
  <w:rsids>
    <w:rsidRoot w:val="562E1DDE"/>
    <w:rsid w:val="562E1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等线" w:eastAsia="宋体" w:cs="Times New Roman"/>
      <w:kern w:val="2"/>
      <w:sz w:val="21"/>
      <w:szCs w:val="22"/>
      <w:lang w:val="en-US" w:eastAsia="zh-CN" w:bidi="ar-SA"/>
    </w:rPr>
  </w:style>
  <w:style w:type="paragraph" w:styleId="2">
    <w:name w:val="heading 1"/>
    <w:basedOn w:val="1"/>
    <w:next w:val="1"/>
    <w:qFormat/>
    <w:uiPriority w:val="0"/>
    <w:pPr>
      <w:keepNext/>
      <w:keepLines/>
      <w:pageBreakBefore/>
      <w:jc w:val="center"/>
      <w:outlineLvl w:val="0"/>
    </w:pPr>
    <w:rPr>
      <w:rFonts w:ascii="宋体" w:hAnsi="宋体"/>
      <w:b/>
      <w:sz w:val="44"/>
      <w:szCs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正文_3"/>
    <w:next w:val="6"/>
    <w:qFormat/>
    <w:uiPriority w:val="3"/>
    <w:pPr>
      <w:widowControl w:val="0"/>
      <w:ind w:firstLine="560" w:firstLineChars="200"/>
      <w:jc w:val="both"/>
    </w:pPr>
    <w:rPr>
      <w:rFonts w:ascii="Calibri" w:hAnsi="Calibri" w:eastAsia="宋体" w:cs="Times New Roman"/>
      <w:kern w:val="2"/>
      <w:sz w:val="28"/>
      <w:szCs w:val="28"/>
      <w:lang w:val="en-US" w:eastAsia="zh-CN" w:bidi="ar-SA"/>
    </w:rPr>
  </w:style>
  <w:style w:type="paragraph" w:customStyle="1" w:styleId="6">
    <w:name w:val="标题_0"/>
    <w:basedOn w:val="5"/>
    <w:next w:val="5"/>
    <w:qFormat/>
    <w:uiPriority w:val="0"/>
    <w:pPr>
      <w:spacing w:before="240" w:after="60"/>
      <w:jc w:val="center"/>
      <w:outlineLvl w:val="0"/>
    </w:pPr>
    <w:rPr>
      <w:rFonts w:ascii="Cambria" w:hAnsi="Cambria" w:cs="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10641</Words>
  <Characters>10946</Characters>
  <Lines>0</Lines>
  <Paragraphs>0</Paragraphs>
  <TotalTime>0</TotalTime>
  <ScaleCrop>false</ScaleCrop>
  <LinksUpToDate>false</LinksUpToDate>
  <CharactersWithSpaces>10952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2023-06-19T05:01:00Z</dcterms:created>
  <dc:creator>嵩开你的手</dc:creator>
  <cp:lastModifiedBy>嵩开你的手</cp:lastModifiedBy>
  <dcterms:modified xsi:type="dcterms:W3CDTF">2023-06-19T05:01:57Z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549AAABFFF2E41CCB028B663E77E378B_11</vt:lpwstr>
  </property>
</Properties>
</file>